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E4F5BE" w14:textId="77777777" w:rsidR="008F7486" w:rsidRPr="008F7486" w:rsidRDefault="008F7486" w:rsidP="006B605A">
      <w:pPr>
        <w:spacing w:before="0" w:after="0" w:line="260" w:lineRule="atLeast"/>
        <w:rPr>
          <w:rFonts w:ascii="Arial" w:eastAsia="Times New Roman" w:hAnsi="Arial" w:cs="Arial"/>
          <w:b/>
          <w:sz w:val="20"/>
          <w:szCs w:val="20"/>
        </w:rPr>
      </w:pPr>
    </w:p>
    <w:p w14:paraId="2CB43B70" w14:textId="77777777" w:rsidR="008F7486" w:rsidRPr="008F7486" w:rsidRDefault="008F7486" w:rsidP="008F7486">
      <w:pPr>
        <w:spacing w:before="0" w:after="0" w:line="260" w:lineRule="atLeast"/>
        <w:jc w:val="center"/>
        <w:rPr>
          <w:rFonts w:ascii="Arial" w:eastAsia="Times New Roman" w:hAnsi="Arial" w:cs="Arial"/>
          <w:b/>
          <w:sz w:val="20"/>
          <w:szCs w:val="20"/>
        </w:rPr>
      </w:pPr>
    </w:p>
    <w:p w14:paraId="1959011F" w14:textId="2AD3E73F" w:rsidR="008F7486" w:rsidRDefault="006704D4" w:rsidP="008F7486">
      <w:pPr>
        <w:spacing w:before="0" w:after="0" w:line="260" w:lineRule="atLeast"/>
        <w:jc w:val="center"/>
        <w:rPr>
          <w:rFonts w:ascii="Arial" w:eastAsia="Times New Roman" w:hAnsi="Arial" w:cs="Arial"/>
          <w:b/>
          <w:sz w:val="20"/>
          <w:szCs w:val="20"/>
        </w:rPr>
      </w:pPr>
      <w:r>
        <w:rPr>
          <w:rFonts w:ascii="Arial" w:eastAsia="Times New Roman" w:hAnsi="Arial" w:cs="Arial"/>
          <w:b/>
          <w:sz w:val="20"/>
          <w:szCs w:val="20"/>
        </w:rPr>
        <w:t>PROJEKTNA NALOGA (</w:t>
      </w:r>
      <w:r w:rsidR="008F7486" w:rsidRPr="008F7486">
        <w:rPr>
          <w:rFonts w:ascii="Arial" w:eastAsia="Times New Roman" w:hAnsi="Arial" w:cs="Arial"/>
          <w:b/>
          <w:sz w:val="20"/>
          <w:szCs w:val="20"/>
        </w:rPr>
        <w:t>OPIS NAROČILA</w:t>
      </w:r>
      <w:r>
        <w:rPr>
          <w:rFonts w:ascii="Arial" w:eastAsia="Times New Roman" w:hAnsi="Arial" w:cs="Arial"/>
          <w:b/>
          <w:sz w:val="20"/>
          <w:szCs w:val="20"/>
        </w:rPr>
        <w:t>)</w:t>
      </w:r>
    </w:p>
    <w:p w14:paraId="1E5B2B50" w14:textId="77777777" w:rsidR="006B605A" w:rsidRPr="008F7486" w:rsidRDefault="006B605A" w:rsidP="008F7486">
      <w:pPr>
        <w:spacing w:before="0" w:after="0" w:line="260" w:lineRule="atLeast"/>
        <w:jc w:val="center"/>
        <w:rPr>
          <w:rFonts w:ascii="Arial" w:eastAsia="Times New Roman" w:hAnsi="Arial" w:cs="Arial"/>
          <w:b/>
          <w:sz w:val="20"/>
          <w:szCs w:val="20"/>
        </w:rPr>
      </w:pPr>
    </w:p>
    <w:p w14:paraId="068CB60A" w14:textId="4C9AA9BD" w:rsidR="008F7486" w:rsidRDefault="008F7486" w:rsidP="008F7486">
      <w:pPr>
        <w:spacing w:before="0" w:after="0" w:line="260" w:lineRule="atLeast"/>
        <w:jc w:val="center"/>
        <w:rPr>
          <w:rFonts w:ascii="Arial" w:eastAsia="Times New Roman" w:hAnsi="Arial" w:cs="Arial"/>
          <w:b/>
          <w:sz w:val="20"/>
          <w:szCs w:val="20"/>
        </w:rPr>
      </w:pPr>
      <w:r w:rsidRPr="008F7486">
        <w:rPr>
          <w:rFonts w:ascii="Arial" w:eastAsia="Times New Roman" w:hAnsi="Arial" w:cs="Arial"/>
          <w:b/>
          <w:sz w:val="20"/>
          <w:szCs w:val="20"/>
        </w:rPr>
        <w:t>MONITORING RASTLINSTVA, ŽIVALSTVA IN HABITATNIH TIPOV PRI GRADNJI DRUGEGA TIRA ŽELEZNIŠKE PROGE DIVAČA – KOPER</w:t>
      </w:r>
      <w:r w:rsidR="00DE590E">
        <w:rPr>
          <w:rFonts w:ascii="Arial" w:eastAsia="Times New Roman" w:hAnsi="Arial" w:cs="Arial"/>
          <w:b/>
          <w:sz w:val="20"/>
          <w:szCs w:val="20"/>
        </w:rPr>
        <w:t xml:space="preserve"> – </w:t>
      </w:r>
      <w:r w:rsidR="00784D2D">
        <w:rPr>
          <w:rFonts w:ascii="Arial" w:eastAsia="Times New Roman" w:hAnsi="Arial" w:cs="Arial"/>
          <w:b/>
          <w:sz w:val="20"/>
          <w:szCs w:val="20"/>
        </w:rPr>
        <w:t>2 SKLOPA</w:t>
      </w:r>
    </w:p>
    <w:p w14:paraId="51906086" w14:textId="77777777" w:rsidR="006B605A" w:rsidRPr="008F7486" w:rsidRDefault="006B605A" w:rsidP="008F7486">
      <w:pPr>
        <w:spacing w:before="0" w:after="0" w:line="260" w:lineRule="atLeast"/>
        <w:jc w:val="center"/>
        <w:rPr>
          <w:rFonts w:ascii="Arial" w:eastAsia="Times New Roman" w:hAnsi="Arial" w:cs="Arial"/>
          <w:b/>
          <w:sz w:val="20"/>
          <w:szCs w:val="20"/>
        </w:rPr>
      </w:pPr>
    </w:p>
    <w:p w14:paraId="5F3064D0" w14:textId="77777777" w:rsidR="008F7486" w:rsidRPr="008F7486" w:rsidRDefault="008F7486" w:rsidP="008F7486">
      <w:pPr>
        <w:spacing w:before="0" w:after="0" w:line="260" w:lineRule="atLeast"/>
        <w:jc w:val="left"/>
        <w:rPr>
          <w:rFonts w:ascii="Arial" w:eastAsia="Times New Roman" w:hAnsi="Arial" w:cs="Arial"/>
          <w:sz w:val="20"/>
          <w:szCs w:val="20"/>
        </w:rPr>
      </w:pPr>
    </w:p>
    <w:p w14:paraId="5E986ED4" w14:textId="77777777" w:rsidR="008F7486" w:rsidRPr="008F7486" w:rsidRDefault="008F7486" w:rsidP="008F7486">
      <w:pPr>
        <w:numPr>
          <w:ilvl w:val="0"/>
          <w:numId w:val="20"/>
        </w:numPr>
        <w:spacing w:before="360" w:after="0" w:line="240" w:lineRule="auto"/>
        <w:ind w:left="714" w:hanging="357"/>
        <w:contextualSpacing/>
        <w:jc w:val="left"/>
        <w:rPr>
          <w:rFonts w:ascii="Arial" w:eastAsia="Calibri" w:hAnsi="Arial" w:cs="Arial"/>
          <w:b/>
          <w:sz w:val="20"/>
          <w:szCs w:val="20"/>
        </w:rPr>
      </w:pPr>
      <w:r w:rsidRPr="008F7486">
        <w:rPr>
          <w:rFonts w:ascii="Arial" w:eastAsia="Calibri" w:hAnsi="Arial" w:cs="Arial"/>
          <w:b/>
          <w:sz w:val="20"/>
          <w:szCs w:val="20"/>
        </w:rPr>
        <w:t>UVOD</w:t>
      </w:r>
    </w:p>
    <w:p w14:paraId="18E0B11B" w14:textId="77777777" w:rsidR="008F7486" w:rsidRPr="008F7486" w:rsidRDefault="008F7486" w:rsidP="008F7486">
      <w:pPr>
        <w:spacing w:before="0" w:after="0" w:line="260" w:lineRule="atLeast"/>
        <w:rPr>
          <w:rFonts w:ascii="Arial" w:hAnsi="Arial" w:cs="Arial"/>
          <w:sz w:val="20"/>
          <w:szCs w:val="20"/>
        </w:rPr>
      </w:pPr>
    </w:p>
    <w:p w14:paraId="7EF71679" w14:textId="77777777" w:rsidR="008F7486" w:rsidRPr="008F7486" w:rsidRDefault="008F7486" w:rsidP="008F7486">
      <w:pPr>
        <w:spacing w:before="0" w:after="0" w:line="260" w:lineRule="atLeast"/>
        <w:rPr>
          <w:rFonts w:ascii="Arial" w:hAnsi="Arial" w:cs="Arial"/>
          <w:sz w:val="20"/>
          <w:szCs w:val="20"/>
        </w:rPr>
      </w:pPr>
      <w:r w:rsidRPr="008F7486">
        <w:rPr>
          <w:rFonts w:ascii="Arial" w:hAnsi="Arial" w:cs="Arial"/>
          <w:sz w:val="20"/>
          <w:szCs w:val="20"/>
        </w:rPr>
        <w:t xml:space="preserve">V skladu z Uredbo o državnem lokacijskem načrtu za drugi tir železniške proge na odseku Divača-Koper (Uradni list RS, št. </w:t>
      </w:r>
      <w:hyperlink r:id="rId8" w:tgtFrame="_blank" w:tooltip="Uredba o državnem lokacijskem načrtu za drugi tir železniške proge na odseku Divača–Koper" w:history="1">
        <w:r w:rsidRPr="008F7486">
          <w:rPr>
            <w:rFonts w:ascii="Arial" w:hAnsi="Arial" w:cs="Arial"/>
            <w:sz w:val="20"/>
            <w:szCs w:val="20"/>
          </w:rPr>
          <w:t>43/05</w:t>
        </w:r>
      </w:hyperlink>
      <w:r w:rsidRPr="008F7486">
        <w:rPr>
          <w:rFonts w:ascii="Arial" w:hAnsi="Arial" w:cs="Arial"/>
          <w:sz w:val="20"/>
          <w:szCs w:val="20"/>
        </w:rPr>
        <w:t xml:space="preserve">, </w:t>
      </w:r>
      <w:hyperlink r:id="rId9" w:tgtFrame="_blank" w:tooltip="Uredba o državnem prostorskem načrtu za celovito prostorsko ureditev pristanišča za mednarodni promet v Kopru" w:history="1">
        <w:r w:rsidRPr="008F7486">
          <w:rPr>
            <w:rFonts w:ascii="Arial" w:hAnsi="Arial" w:cs="Arial"/>
            <w:sz w:val="20"/>
            <w:szCs w:val="20"/>
          </w:rPr>
          <w:t>48/11</w:t>
        </w:r>
      </w:hyperlink>
      <w:r w:rsidRPr="008F7486">
        <w:rPr>
          <w:rFonts w:ascii="Arial" w:hAnsi="Arial" w:cs="Arial"/>
          <w:sz w:val="20"/>
          <w:szCs w:val="20"/>
        </w:rPr>
        <w:t xml:space="preserve">, </w:t>
      </w:r>
      <w:hyperlink r:id="rId10" w:tgtFrame="_blank" w:tooltip="Uredba o spremembah in dopolnitvah Uredbe o državnem lokacijskem načrtu za drugi tir železniške proge na odseku Divača–Koper" w:history="1">
        <w:r w:rsidRPr="008F7486">
          <w:rPr>
            <w:rFonts w:ascii="Arial" w:hAnsi="Arial" w:cs="Arial"/>
            <w:sz w:val="20"/>
            <w:szCs w:val="20"/>
          </w:rPr>
          <w:t>59/14</w:t>
        </w:r>
      </w:hyperlink>
      <w:r w:rsidRPr="008F7486">
        <w:rPr>
          <w:rFonts w:ascii="Arial" w:hAnsi="Arial" w:cs="Arial"/>
          <w:sz w:val="20"/>
          <w:szCs w:val="20"/>
        </w:rPr>
        <w:t xml:space="preserve"> in </w:t>
      </w:r>
      <w:hyperlink r:id="rId11" w:tgtFrame="_blank" w:tooltip="Uredba o spremembah in dopolnitvah Uredbe o državnem lokacijskem načrtu za drugi tir železniške proge na odseku Divača–Koper" w:history="1">
        <w:r w:rsidRPr="008F7486">
          <w:rPr>
            <w:rFonts w:ascii="Arial" w:hAnsi="Arial" w:cs="Arial"/>
            <w:sz w:val="20"/>
            <w:szCs w:val="20"/>
          </w:rPr>
          <w:t>88/15</w:t>
        </w:r>
      </w:hyperlink>
      <w:r w:rsidRPr="008F7486">
        <w:rPr>
          <w:rFonts w:ascii="Arial" w:hAnsi="Arial" w:cs="Arial"/>
          <w:sz w:val="20"/>
          <w:szCs w:val="20"/>
        </w:rPr>
        <w:t>) ter drugo veljavno zakonodajo s področja varovanja in ohranjanja narave je treba zagotoviti spremljanje stanja rastlinstva, živalstva in habitatnih tipov pred gradnjo, v času pripravljalnih, zemeljskih in gradbenih del na širšem območju trase drugega tira železniške proge Divača-Koper vključno z dostopnimi cestami.</w:t>
      </w:r>
    </w:p>
    <w:p w14:paraId="68260C9A" w14:textId="77777777" w:rsidR="008F7486" w:rsidRPr="008F7486" w:rsidRDefault="008F7486" w:rsidP="008F7486">
      <w:pPr>
        <w:spacing w:before="0" w:after="0" w:line="260" w:lineRule="atLeast"/>
        <w:rPr>
          <w:rFonts w:ascii="Arial" w:hAnsi="Arial" w:cs="Arial"/>
          <w:sz w:val="20"/>
          <w:szCs w:val="20"/>
        </w:rPr>
      </w:pPr>
    </w:p>
    <w:p w14:paraId="16BE5879" w14:textId="77777777" w:rsidR="008F7486" w:rsidRPr="008F7486" w:rsidRDefault="008F7486" w:rsidP="008F7486">
      <w:pPr>
        <w:spacing w:before="0" w:after="0" w:line="260" w:lineRule="atLeast"/>
        <w:rPr>
          <w:rFonts w:ascii="Arial" w:hAnsi="Arial" w:cs="Arial"/>
          <w:sz w:val="20"/>
          <w:szCs w:val="20"/>
        </w:rPr>
      </w:pPr>
      <w:r w:rsidRPr="008F7486">
        <w:rPr>
          <w:rFonts w:ascii="Arial" w:hAnsi="Arial" w:cs="Arial"/>
          <w:sz w:val="20"/>
          <w:szCs w:val="20"/>
        </w:rPr>
        <w:t>Za II. tir železniške proge Divača – Koper je bilo dne 13.2.2014 izdano delno okoljevarstveno soglasje (št. 35402-2/2012-96) in 29.10.2014 dopolnilna odločba k delnemu okoljevarstvenemu soglasju (št. 35402-2/2012-100). Za celoten poseg je bilo izdano tudi že gradbeno dovoljenje.</w:t>
      </w:r>
    </w:p>
    <w:p w14:paraId="1F54DC59" w14:textId="77777777" w:rsidR="008F7486" w:rsidRPr="008F7486" w:rsidRDefault="008F7486" w:rsidP="008F7486">
      <w:pPr>
        <w:spacing w:before="0" w:after="0" w:line="260" w:lineRule="atLeast"/>
        <w:rPr>
          <w:rFonts w:ascii="Arial" w:hAnsi="Arial" w:cs="Arial"/>
          <w:sz w:val="20"/>
          <w:szCs w:val="20"/>
        </w:rPr>
      </w:pPr>
    </w:p>
    <w:p w14:paraId="1595F343" w14:textId="77777777" w:rsidR="008F7486" w:rsidRPr="008F7486" w:rsidRDefault="008F7486" w:rsidP="008F7486">
      <w:pPr>
        <w:spacing w:before="0" w:after="0" w:line="260" w:lineRule="atLeast"/>
        <w:rPr>
          <w:rFonts w:ascii="Arial" w:hAnsi="Arial" w:cs="Arial"/>
          <w:sz w:val="20"/>
          <w:szCs w:val="20"/>
        </w:rPr>
      </w:pPr>
      <w:r w:rsidRPr="008F7486">
        <w:rPr>
          <w:rFonts w:ascii="Arial" w:hAnsi="Arial" w:cs="Arial"/>
          <w:sz w:val="20"/>
          <w:szCs w:val="20"/>
        </w:rPr>
        <w:t>V Poročilu o vplivih na okolje je bil določen okvirni obseg spremljanja stanja po različnih sestavinah okolja. Izdelan je bil tudi Celostni načrt okoljskega monitoringa v času gradnje in v času obratovanja za drugi tir železniške proge na odseku Divača – Koper (Aquarius d.o.o. Ljubljana, december 2014) ter Elaborat za izvajanje ukrepov za preprečevanje onesnaževanja območja Glinščice (Aquarius d.o.o. Ljubljana, april 2014), katerega vsebina je bila usklajena s pristojno strokovno inštitucijo – Zavodom RS za varstvo narave. Obveznosti izvajanja monitoringa so opredeljene tudi v Uredbi o državnem lokacijskem načrtu za drugi tir železniške proge na odseku Divača–Koper (Uradni list RS, št. </w:t>
      </w:r>
      <w:hyperlink r:id="rId12" w:tgtFrame="_blank" w:tooltip="Uredba o državnem lokacijskem načrtu za drugi tir železniške proge na odseku Divača–Koper" w:history="1">
        <w:r w:rsidRPr="008F7486">
          <w:rPr>
            <w:rFonts w:ascii="Arial" w:hAnsi="Arial" w:cs="Times New Roman"/>
            <w:sz w:val="20"/>
            <w:szCs w:val="20"/>
          </w:rPr>
          <w:t>43/05</w:t>
        </w:r>
      </w:hyperlink>
      <w:r w:rsidRPr="008F7486">
        <w:rPr>
          <w:rFonts w:ascii="Arial" w:hAnsi="Arial" w:cs="Arial"/>
          <w:sz w:val="20"/>
          <w:szCs w:val="20"/>
        </w:rPr>
        <w:t>, </w:t>
      </w:r>
      <w:hyperlink r:id="rId13" w:tgtFrame="_blank" w:tooltip="Uredba o državnem prostorskem načrtu za celovito prostorsko ureditev pristanišča za mednarodni promet v Kopru" w:history="1">
        <w:r w:rsidRPr="008F7486">
          <w:rPr>
            <w:rFonts w:ascii="Arial" w:hAnsi="Arial" w:cs="Times New Roman"/>
            <w:sz w:val="20"/>
            <w:szCs w:val="20"/>
          </w:rPr>
          <w:t>48/11</w:t>
        </w:r>
      </w:hyperlink>
      <w:r w:rsidRPr="008F7486">
        <w:rPr>
          <w:rFonts w:ascii="Arial" w:hAnsi="Arial" w:cs="Arial"/>
          <w:sz w:val="20"/>
          <w:szCs w:val="20"/>
        </w:rPr>
        <w:t>, </w:t>
      </w:r>
      <w:hyperlink r:id="rId14" w:tgtFrame="_blank" w:tooltip="Uredba o spremembah in dopolnitvah Uredbe o državnem lokacijskem načrtu za drugi tir železniške proge na odseku Divača–Koper" w:history="1">
        <w:r w:rsidRPr="008F7486">
          <w:rPr>
            <w:rFonts w:ascii="Arial" w:hAnsi="Arial" w:cs="Times New Roman"/>
            <w:sz w:val="20"/>
            <w:szCs w:val="20"/>
          </w:rPr>
          <w:t>59/14</w:t>
        </w:r>
      </w:hyperlink>
      <w:r w:rsidRPr="008F7486">
        <w:rPr>
          <w:rFonts w:ascii="Arial" w:hAnsi="Arial" w:cs="Arial"/>
          <w:sz w:val="20"/>
          <w:szCs w:val="20"/>
        </w:rPr>
        <w:t> in </w:t>
      </w:r>
      <w:hyperlink r:id="rId15" w:tgtFrame="_blank" w:tooltip="Uredba o spremembah in dopolnitvah Uredbe o državnem lokacijskem načrtu za drugi tir železniške proge na odseku Divača–Koper" w:history="1">
        <w:r w:rsidRPr="008F7486">
          <w:rPr>
            <w:rFonts w:ascii="Arial" w:hAnsi="Arial" w:cs="Times New Roman"/>
            <w:sz w:val="20"/>
            <w:szCs w:val="20"/>
          </w:rPr>
          <w:t>88/15</w:t>
        </w:r>
      </w:hyperlink>
      <w:r w:rsidRPr="008F7486">
        <w:rPr>
          <w:rFonts w:ascii="Arial" w:hAnsi="Arial" w:cs="Arial"/>
          <w:sz w:val="20"/>
          <w:szCs w:val="20"/>
        </w:rPr>
        <w:t>).</w:t>
      </w:r>
    </w:p>
    <w:p w14:paraId="34A21C45" w14:textId="77777777" w:rsidR="008F7486" w:rsidRPr="008F7486" w:rsidRDefault="008F7486" w:rsidP="008F7486">
      <w:pPr>
        <w:spacing w:before="0" w:after="0" w:line="260" w:lineRule="atLeast"/>
        <w:rPr>
          <w:rFonts w:ascii="Arial" w:hAnsi="Arial" w:cs="Arial"/>
          <w:sz w:val="20"/>
          <w:szCs w:val="20"/>
        </w:rPr>
      </w:pPr>
    </w:p>
    <w:p w14:paraId="4A234F1E" w14:textId="77777777" w:rsidR="008F7486" w:rsidRPr="008F7486" w:rsidRDefault="008F7486" w:rsidP="008F7486">
      <w:pPr>
        <w:spacing w:before="0" w:after="0" w:line="260" w:lineRule="atLeast"/>
        <w:rPr>
          <w:rFonts w:ascii="Arial" w:eastAsia="Times New Roman" w:hAnsi="Arial" w:cs="Arial"/>
          <w:sz w:val="20"/>
          <w:szCs w:val="20"/>
        </w:rPr>
      </w:pPr>
      <w:r w:rsidRPr="008F7486">
        <w:rPr>
          <w:rFonts w:ascii="Arial" w:eastAsia="Times New Roman" w:hAnsi="Arial" w:cs="Arial"/>
          <w:sz w:val="20"/>
          <w:szCs w:val="20"/>
        </w:rPr>
        <w:t>Pred pričetkom gradnje so bili izvedeni sledeči popisi, ki so v prilogi projektne naloge:</w:t>
      </w:r>
    </w:p>
    <w:p w14:paraId="479F19C0" w14:textId="77777777" w:rsidR="008F7486" w:rsidRPr="008F7486" w:rsidRDefault="008F7486" w:rsidP="008F7486">
      <w:pPr>
        <w:widowControl w:val="0"/>
        <w:numPr>
          <w:ilvl w:val="0"/>
          <w:numId w:val="23"/>
        </w:numPr>
        <w:spacing w:before="0" w:after="200" w:line="260" w:lineRule="atLeast"/>
        <w:contextualSpacing/>
        <w:jc w:val="left"/>
        <w:rPr>
          <w:rFonts w:ascii="Arial" w:eastAsia="Calibri" w:hAnsi="Arial" w:cs="Arial"/>
          <w:sz w:val="20"/>
          <w:szCs w:val="20"/>
        </w:rPr>
      </w:pPr>
      <w:r w:rsidRPr="008F7486">
        <w:rPr>
          <w:rFonts w:ascii="Arial" w:eastAsia="Calibri" w:hAnsi="Arial" w:cs="Arial"/>
          <w:sz w:val="20"/>
          <w:szCs w:val="20"/>
        </w:rPr>
        <w:t>Popis stanja habitatnih tipov, flore, rib in rakov pred gradnjo II. tira železniške proge Divača – Koper v dolini Glinščice (Aquarius d.o.o., Ljubljana, september 2018).</w:t>
      </w:r>
    </w:p>
    <w:p w14:paraId="3DABAB26" w14:textId="77777777" w:rsidR="008F7486" w:rsidRPr="008F7486" w:rsidRDefault="008F7486" w:rsidP="008F7486">
      <w:pPr>
        <w:widowControl w:val="0"/>
        <w:spacing w:before="0" w:after="200"/>
        <w:ind w:left="420"/>
        <w:contextualSpacing/>
        <w:rPr>
          <w:rFonts w:ascii="Arial" w:eastAsia="Calibri" w:hAnsi="Arial" w:cs="Arial"/>
          <w:sz w:val="20"/>
          <w:szCs w:val="20"/>
        </w:rPr>
      </w:pPr>
    </w:p>
    <w:p w14:paraId="7DD1A6D2" w14:textId="77777777" w:rsidR="008F7486" w:rsidRPr="008F7486" w:rsidRDefault="008F7486" w:rsidP="008F7486">
      <w:pPr>
        <w:widowControl w:val="0"/>
        <w:spacing w:before="0" w:after="200"/>
        <w:ind w:left="420"/>
        <w:contextualSpacing/>
        <w:rPr>
          <w:rFonts w:ascii="Arial" w:eastAsia="Calibri" w:hAnsi="Arial" w:cs="Arial"/>
          <w:sz w:val="20"/>
          <w:szCs w:val="20"/>
        </w:rPr>
      </w:pPr>
    </w:p>
    <w:p w14:paraId="6EF9B435" w14:textId="77777777" w:rsidR="008F7486" w:rsidRPr="008F7486" w:rsidRDefault="008F7486" w:rsidP="008F7486">
      <w:pPr>
        <w:numPr>
          <w:ilvl w:val="0"/>
          <w:numId w:val="20"/>
        </w:numPr>
        <w:spacing w:before="360" w:after="0" w:line="240" w:lineRule="auto"/>
        <w:ind w:left="714" w:hanging="357"/>
        <w:contextualSpacing/>
        <w:jc w:val="left"/>
        <w:rPr>
          <w:rFonts w:ascii="Arial" w:eastAsia="Calibri" w:hAnsi="Arial" w:cs="Arial"/>
          <w:b/>
          <w:sz w:val="20"/>
          <w:szCs w:val="20"/>
        </w:rPr>
      </w:pPr>
      <w:r w:rsidRPr="008F7486">
        <w:rPr>
          <w:rFonts w:ascii="Arial" w:eastAsia="Calibri" w:hAnsi="Arial" w:cs="Arial"/>
          <w:b/>
          <w:sz w:val="20"/>
          <w:szCs w:val="20"/>
        </w:rPr>
        <w:t>PREDMET NALOGE</w:t>
      </w:r>
    </w:p>
    <w:p w14:paraId="7C834113" w14:textId="77777777" w:rsidR="008F7486" w:rsidRPr="008F7486" w:rsidRDefault="008F7486" w:rsidP="008F7486">
      <w:pPr>
        <w:spacing w:before="0" w:after="0" w:line="260" w:lineRule="atLeast"/>
        <w:rPr>
          <w:rFonts w:ascii="Arial" w:eastAsia="Times New Roman" w:hAnsi="Arial" w:cs="Arial"/>
          <w:sz w:val="20"/>
          <w:szCs w:val="20"/>
        </w:rPr>
      </w:pPr>
    </w:p>
    <w:p w14:paraId="52645E6D" w14:textId="015AA6F8" w:rsidR="008F7486" w:rsidRPr="008F7486" w:rsidRDefault="008F7486" w:rsidP="008F7486">
      <w:pPr>
        <w:spacing w:before="0" w:after="0" w:line="260" w:lineRule="atLeast"/>
        <w:rPr>
          <w:rFonts w:ascii="Arial" w:eastAsia="Times New Roman" w:hAnsi="Arial" w:cs="Arial"/>
          <w:sz w:val="20"/>
          <w:szCs w:val="20"/>
        </w:rPr>
      </w:pPr>
      <w:r w:rsidRPr="008F7486">
        <w:rPr>
          <w:rFonts w:ascii="Arial" w:eastAsia="Times New Roman" w:hAnsi="Arial" w:cs="Arial"/>
          <w:sz w:val="20"/>
          <w:szCs w:val="20"/>
        </w:rPr>
        <w:t xml:space="preserve">Predmet naloge je izvedba </w:t>
      </w:r>
      <w:r w:rsidRPr="008F7486">
        <w:rPr>
          <w:rFonts w:ascii="Arial" w:eastAsia="Times New Roman" w:hAnsi="Arial" w:cs="Arial"/>
          <w:b/>
          <w:sz w:val="20"/>
          <w:szCs w:val="20"/>
        </w:rPr>
        <w:t>popisov in monitoringa habitatnih tipov</w:t>
      </w:r>
      <w:r w:rsidR="00784D2D">
        <w:rPr>
          <w:rFonts w:ascii="Arial" w:eastAsia="Times New Roman" w:hAnsi="Arial" w:cs="Arial"/>
          <w:b/>
          <w:sz w:val="20"/>
          <w:szCs w:val="20"/>
        </w:rPr>
        <w:t xml:space="preserve"> </w:t>
      </w:r>
      <w:r w:rsidRPr="008F7486">
        <w:rPr>
          <w:rFonts w:ascii="Arial" w:eastAsia="Times New Roman" w:hAnsi="Arial" w:cs="Arial"/>
          <w:b/>
          <w:sz w:val="20"/>
          <w:szCs w:val="20"/>
        </w:rPr>
        <w:t xml:space="preserve">in vodnih organizmov pri gradnji drugega tira železniške proge Divača – Koper od Divače do napajalne postaje Dekani, vključno z gradnjo dostopnih cest. </w:t>
      </w:r>
      <w:r w:rsidRPr="008F7486">
        <w:rPr>
          <w:rFonts w:ascii="Arial" w:eastAsia="Times New Roman" w:hAnsi="Arial" w:cs="Arial"/>
          <w:sz w:val="20"/>
          <w:szCs w:val="20"/>
        </w:rPr>
        <w:t>Podroben opis in vsebina sta navedena v nadaljevanju.</w:t>
      </w:r>
    </w:p>
    <w:p w14:paraId="6F87646B" w14:textId="77777777" w:rsidR="008F7486" w:rsidRPr="008F7486" w:rsidRDefault="008F7486" w:rsidP="008F7486">
      <w:pPr>
        <w:spacing w:before="0" w:after="0" w:line="260" w:lineRule="atLeast"/>
        <w:rPr>
          <w:rFonts w:ascii="Arial" w:eastAsia="Times New Roman" w:hAnsi="Arial" w:cs="Arial"/>
          <w:sz w:val="20"/>
          <w:szCs w:val="20"/>
        </w:rPr>
      </w:pPr>
    </w:p>
    <w:p w14:paraId="3824617F" w14:textId="41EBD08E" w:rsidR="008F7486" w:rsidRPr="008F7486" w:rsidRDefault="008F7486" w:rsidP="008F7486">
      <w:pPr>
        <w:spacing w:before="0" w:after="0" w:line="260" w:lineRule="atLeast"/>
        <w:rPr>
          <w:rFonts w:ascii="Arial" w:eastAsia="Times New Roman" w:hAnsi="Arial" w:cs="Arial"/>
          <w:sz w:val="20"/>
          <w:szCs w:val="20"/>
        </w:rPr>
      </w:pPr>
      <w:r w:rsidRPr="008F7486">
        <w:rPr>
          <w:rFonts w:ascii="Arial" w:eastAsia="Times New Roman" w:hAnsi="Arial" w:cs="Arial"/>
          <w:sz w:val="20"/>
          <w:szCs w:val="20"/>
        </w:rPr>
        <w:t>Gradnja bo predvidoma trajala 7 let, zato se naloga razpisuje za obdobje sedmih let</w:t>
      </w:r>
      <w:r w:rsidR="001E06AE">
        <w:rPr>
          <w:rFonts w:ascii="Arial" w:eastAsia="Times New Roman" w:hAnsi="Arial" w:cs="Arial"/>
          <w:sz w:val="20"/>
          <w:szCs w:val="20"/>
        </w:rPr>
        <w:t xml:space="preserve"> od uvedbe v delo</w:t>
      </w:r>
      <w:r w:rsidRPr="008F7486">
        <w:rPr>
          <w:rFonts w:ascii="Arial" w:eastAsia="Times New Roman" w:hAnsi="Arial" w:cs="Arial"/>
          <w:sz w:val="20"/>
          <w:szCs w:val="20"/>
        </w:rPr>
        <w:t>.</w:t>
      </w:r>
    </w:p>
    <w:p w14:paraId="66BD0C17" w14:textId="77777777" w:rsidR="008F7486" w:rsidRPr="008F7486" w:rsidRDefault="008F7486" w:rsidP="008F7486">
      <w:pPr>
        <w:spacing w:before="0" w:after="0" w:line="260" w:lineRule="atLeast"/>
        <w:rPr>
          <w:rFonts w:ascii="Arial" w:eastAsia="Times New Roman" w:hAnsi="Arial" w:cs="Arial"/>
          <w:sz w:val="20"/>
          <w:szCs w:val="20"/>
        </w:rPr>
      </w:pPr>
    </w:p>
    <w:p w14:paraId="7D85CF14" w14:textId="77777777" w:rsidR="008F7486" w:rsidRPr="008F7486" w:rsidRDefault="008F7486" w:rsidP="008F7486">
      <w:pPr>
        <w:numPr>
          <w:ilvl w:val="0"/>
          <w:numId w:val="20"/>
        </w:numPr>
        <w:spacing w:before="360" w:after="0" w:line="240" w:lineRule="auto"/>
        <w:ind w:left="714" w:hanging="357"/>
        <w:contextualSpacing/>
        <w:jc w:val="left"/>
        <w:rPr>
          <w:rFonts w:ascii="Arial" w:eastAsia="Calibri" w:hAnsi="Arial" w:cs="Arial"/>
          <w:b/>
          <w:sz w:val="20"/>
          <w:szCs w:val="20"/>
        </w:rPr>
      </w:pPr>
      <w:r w:rsidRPr="008F7486">
        <w:rPr>
          <w:rFonts w:ascii="Arial" w:eastAsia="Calibri" w:hAnsi="Arial" w:cs="Arial"/>
          <w:b/>
          <w:sz w:val="20"/>
          <w:szCs w:val="20"/>
        </w:rPr>
        <w:t>OBSEG IN VSEBINA DEL</w:t>
      </w:r>
    </w:p>
    <w:p w14:paraId="116634B8" w14:textId="77777777" w:rsidR="008F7486" w:rsidRPr="008F7486" w:rsidRDefault="008F7486" w:rsidP="008F7486">
      <w:pPr>
        <w:spacing w:before="0" w:after="0" w:line="260" w:lineRule="atLeast"/>
        <w:rPr>
          <w:rFonts w:ascii="Arial" w:eastAsia="Times New Roman" w:hAnsi="Arial" w:cs="Arial"/>
          <w:b/>
          <w:sz w:val="20"/>
          <w:szCs w:val="20"/>
          <w:u w:val="single"/>
        </w:rPr>
      </w:pPr>
    </w:p>
    <w:p w14:paraId="19013377" w14:textId="77777777" w:rsidR="008F7486" w:rsidRPr="008F7486" w:rsidRDefault="008F7486" w:rsidP="008F7486">
      <w:pPr>
        <w:spacing w:before="0" w:after="0" w:line="260" w:lineRule="atLeast"/>
        <w:rPr>
          <w:rFonts w:ascii="Arial" w:eastAsia="Times New Roman" w:hAnsi="Arial" w:cs="Arial"/>
          <w:sz w:val="20"/>
          <w:szCs w:val="20"/>
        </w:rPr>
      </w:pPr>
      <w:r w:rsidRPr="008F7486">
        <w:rPr>
          <w:rFonts w:ascii="Arial" w:eastAsia="Times New Roman" w:hAnsi="Arial" w:cs="Arial"/>
          <w:sz w:val="20"/>
          <w:szCs w:val="20"/>
        </w:rPr>
        <w:t>Obseg in vsebina del sta razvidna iz spodnje preglednice:</w:t>
      </w:r>
    </w:p>
    <w:p w14:paraId="5E200DAE" w14:textId="77777777" w:rsidR="008F7486" w:rsidRPr="008F7486" w:rsidRDefault="008F7486" w:rsidP="008F7486">
      <w:pPr>
        <w:spacing w:before="0" w:after="0" w:line="240" w:lineRule="auto"/>
        <w:jc w:val="left"/>
        <w:rPr>
          <w:rFonts w:ascii="Arial" w:eastAsia="Times New Roman" w:hAnsi="Arial" w:cs="Arial"/>
          <w:sz w:val="20"/>
          <w:szCs w:val="20"/>
        </w:rPr>
      </w:pPr>
      <w:r w:rsidRPr="008F7486">
        <w:rPr>
          <w:rFonts w:ascii="Arial" w:eastAsia="Times New Roman" w:hAnsi="Arial" w:cs="Arial"/>
          <w:sz w:val="20"/>
          <w:szCs w:val="20"/>
        </w:rPr>
        <w:br w:type="page"/>
      </w:r>
    </w:p>
    <w:p w14:paraId="0EB9C7EC" w14:textId="77777777" w:rsidR="008F7486" w:rsidRPr="008F7486" w:rsidRDefault="008F7486" w:rsidP="008F7486">
      <w:pPr>
        <w:spacing w:before="0" w:after="0" w:line="260" w:lineRule="atLeast"/>
        <w:rPr>
          <w:rFonts w:ascii="Arial" w:eastAsia="Times New Roman" w:hAnsi="Arial" w:cs="Arial"/>
          <w:sz w:val="20"/>
          <w:szCs w:val="20"/>
        </w:rPr>
      </w:pPr>
    </w:p>
    <w:tbl>
      <w:tblPr>
        <w:tblW w:w="4965" w:type="pct"/>
        <w:tblLayout w:type="fixed"/>
        <w:tblCellMar>
          <w:left w:w="70" w:type="dxa"/>
          <w:right w:w="70" w:type="dxa"/>
        </w:tblCellMar>
        <w:tblLook w:val="04A0" w:firstRow="1" w:lastRow="0" w:firstColumn="1" w:lastColumn="0" w:noHBand="0" w:noVBand="1"/>
      </w:tblPr>
      <w:tblGrid>
        <w:gridCol w:w="1465"/>
        <w:gridCol w:w="1256"/>
        <w:gridCol w:w="1673"/>
        <w:gridCol w:w="4603"/>
      </w:tblGrid>
      <w:tr w:rsidR="008F7486" w:rsidRPr="008F7486" w14:paraId="0BD05D1A" w14:textId="77777777" w:rsidTr="003014A9">
        <w:trPr>
          <w:trHeight w:val="722"/>
        </w:trPr>
        <w:tc>
          <w:tcPr>
            <w:tcW w:w="814" w:type="pct"/>
            <w:tcBorders>
              <w:top w:val="single" w:sz="4" w:space="0" w:color="auto"/>
              <w:left w:val="single" w:sz="4" w:space="0" w:color="auto"/>
              <w:bottom w:val="double" w:sz="4" w:space="0" w:color="auto"/>
              <w:right w:val="single" w:sz="4" w:space="0" w:color="auto"/>
            </w:tcBorders>
            <w:shd w:val="clear" w:color="auto" w:fill="D9D9D9" w:themeFill="background1" w:themeFillShade="D9"/>
            <w:vAlign w:val="center"/>
          </w:tcPr>
          <w:p w14:paraId="5DA7FB49" w14:textId="77777777" w:rsidR="00FE74C8" w:rsidRDefault="008F7486" w:rsidP="00FE74C8">
            <w:pPr>
              <w:spacing w:before="0" w:after="0" w:line="240" w:lineRule="auto"/>
              <w:jc w:val="center"/>
              <w:rPr>
                <w:rFonts w:ascii="Arial" w:eastAsia="Times New Roman" w:hAnsi="Arial" w:cs="Arial"/>
                <w:b/>
                <w:i/>
                <w:color w:val="000000"/>
                <w:sz w:val="20"/>
                <w:szCs w:val="20"/>
                <w:lang w:eastAsia="sl-SI"/>
              </w:rPr>
            </w:pPr>
            <w:r w:rsidRPr="008F7486">
              <w:rPr>
                <w:rFonts w:ascii="Arial" w:eastAsia="Times New Roman" w:hAnsi="Arial" w:cs="Arial"/>
                <w:b/>
                <w:i/>
                <w:color w:val="000000"/>
                <w:sz w:val="20"/>
                <w:szCs w:val="20"/>
                <w:lang w:eastAsia="sl-SI"/>
              </w:rPr>
              <w:t>Vrsta popisov, monitoringa</w:t>
            </w:r>
          </w:p>
          <w:p w14:paraId="083757F1" w14:textId="40604F0A" w:rsidR="00FE74C8" w:rsidRPr="008F7486" w:rsidRDefault="00FE74C8" w:rsidP="00FE74C8">
            <w:pPr>
              <w:spacing w:before="0" w:after="0" w:line="240" w:lineRule="auto"/>
              <w:jc w:val="center"/>
              <w:rPr>
                <w:rFonts w:ascii="Arial" w:eastAsia="Times New Roman" w:hAnsi="Arial" w:cs="Arial"/>
                <w:b/>
                <w:i/>
                <w:color w:val="000000"/>
                <w:sz w:val="20"/>
                <w:szCs w:val="20"/>
                <w:lang w:eastAsia="sl-SI"/>
              </w:rPr>
            </w:pPr>
            <w:r>
              <w:rPr>
                <w:rFonts w:ascii="Arial" w:eastAsia="Times New Roman" w:hAnsi="Arial" w:cs="Arial"/>
                <w:b/>
                <w:i/>
                <w:color w:val="000000"/>
                <w:sz w:val="20"/>
                <w:szCs w:val="20"/>
                <w:lang w:eastAsia="sl-SI"/>
              </w:rPr>
              <w:t>(Sklopi)</w:t>
            </w:r>
          </w:p>
        </w:tc>
        <w:tc>
          <w:tcPr>
            <w:tcW w:w="1628" w:type="pct"/>
            <w:gridSpan w:val="2"/>
            <w:tcBorders>
              <w:top w:val="single" w:sz="4" w:space="0" w:color="auto"/>
              <w:left w:val="nil"/>
              <w:bottom w:val="double" w:sz="4" w:space="0" w:color="auto"/>
              <w:right w:val="single" w:sz="4" w:space="0" w:color="auto"/>
            </w:tcBorders>
            <w:shd w:val="clear" w:color="auto" w:fill="D9D9D9" w:themeFill="background1" w:themeFillShade="D9"/>
            <w:vAlign w:val="center"/>
          </w:tcPr>
          <w:p w14:paraId="4E357CA9" w14:textId="77777777" w:rsidR="008F7486" w:rsidRPr="008F7486" w:rsidRDefault="008F7486" w:rsidP="008F7486">
            <w:pPr>
              <w:spacing w:before="0" w:after="0" w:line="240" w:lineRule="auto"/>
              <w:jc w:val="center"/>
              <w:rPr>
                <w:rFonts w:ascii="Arial" w:eastAsia="Times New Roman" w:hAnsi="Arial" w:cs="Arial"/>
                <w:b/>
                <w:i/>
                <w:color w:val="000000"/>
                <w:sz w:val="20"/>
                <w:szCs w:val="20"/>
                <w:lang w:eastAsia="sl-SI"/>
              </w:rPr>
            </w:pPr>
            <w:r w:rsidRPr="008F7486">
              <w:rPr>
                <w:rFonts w:ascii="Arial" w:eastAsia="Times New Roman" w:hAnsi="Arial" w:cs="Arial"/>
                <w:b/>
                <w:i/>
                <w:color w:val="000000"/>
                <w:sz w:val="20"/>
                <w:szCs w:val="20"/>
                <w:lang w:eastAsia="sl-SI"/>
              </w:rPr>
              <w:t>Čas izvajanja del</w:t>
            </w:r>
          </w:p>
        </w:tc>
        <w:tc>
          <w:tcPr>
            <w:tcW w:w="2558" w:type="pct"/>
            <w:tcBorders>
              <w:top w:val="single" w:sz="4" w:space="0" w:color="auto"/>
              <w:left w:val="nil"/>
              <w:bottom w:val="double" w:sz="4" w:space="0" w:color="auto"/>
              <w:right w:val="single" w:sz="4" w:space="0" w:color="auto"/>
            </w:tcBorders>
            <w:shd w:val="clear" w:color="auto" w:fill="D9D9D9" w:themeFill="background1" w:themeFillShade="D9"/>
            <w:noWrap/>
            <w:vAlign w:val="center"/>
          </w:tcPr>
          <w:p w14:paraId="74FC3D80" w14:textId="77777777" w:rsidR="008F7486" w:rsidRPr="008F7486" w:rsidRDefault="008F7486" w:rsidP="008F7486">
            <w:pPr>
              <w:spacing w:before="0" w:after="0" w:line="240" w:lineRule="auto"/>
              <w:jc w:val="center"/>
              <w:rPr>
                <w:rFonts w:ascii="Arial" w:eastAsia="Times New Roman" w:hAnsi="Arial" w:cs="Arial"/>
                <w:b/>
                <w:i/>
                <w:color w:val="000000"/>
                <w:sz w:val="20"/>
                <w:szCs w:val="20"/>
                <w:lang w:eastAsia="sl-SI"/>
              </w:rPr>
            </w:pPr>
            <w:r w:rsidRPr="008F7486">
              <w:rPr>
                <w:rFonts w:ascii="Arial" w:eastAsia="Times New Roman" w:hAnsi="Arial" w:cs="Arial"/>
                <w:b/>
                <w:i/>
                <w:color w:val="000000"/>
                <w:sz w:val="20"/>
                <w:szCs w:val="20"/>
                <w:lang w:eastAsia="sl-SI"/>
              </w:rPr>
              <w:t>Lokacija izvajanja del, opis in vsebina del</w:t>
            </w:r>
          </w:p>
        </w:tc>
      </w:tr>
      <w:tr w:rsidR="008F7486" w:rsidRPr="008F7486" w14:paraId="012E26DB" w14:textId="77777777" w:rsidTr="003014A9">
        <w:trPr>
          <w:cantSplit/>
          <w:trHeight w:val="1108"/>
        </w:trPr>
        <w:tc>
          <w:tcPr>
            <w:tcW w:w="814" w:type="pct"/>
            <w:vMerge w:val="restart"/>
            <w:tcBorders>
              <w:top w:val="double" w:sz="4" w:space="0" w:color="auto"/>
              <w:left w:val="single" w:sz="4" w:space="0" w:color="auto"/>
              <w:right w:val="dashSmallGap" w:sz="4" w:space="0" w:color="auto"/>
            </w:tcBorders>
            <w:shd w:val="clear" w:color="auto" w:fill="auto"/>
            <w:vAlign w:val="center"/>
            <w:hideMark/>
          </w:tcPr>
          <w:p w14:paraId="53905CD3" w14:textId="77777777" w:rsidR="008F7486" w:rsidRPr="008F7486" w:rsidRDefault="008F7486" w:rsidP="008F7486">
            <w:pPr>
              <w:spacing w:before="0" w:after="0" w:line="240" w:lineRule="auto"/>
              <w:jc w:val="left"/>
              <w:rPr>
                <w:rFonts w:ascii="Arial" w:eastAsia="Times New Roman" w:hAnsi="Arial" w:cs="Arial"/>
                <w:b/>
                <w:color w:val="000000"/>
                <w:sz w:val="20"/>
                <w:szCs w:val="20"/>
                <w:lang w:eastAsia="sl-SI"/>
              </w:rPr>
            </w:pPr>
            <w:r w:rsidRPr="008F7486">
              <w:rPr>
                <w:rFonts w:ascii="Arial" w:eastAsia="Times New Roman" w:hAnsi="Arial" w:cs="Arial"/>
                <w:b/>
                <w:color w:val="000000"/>
                <w:sz w:val="20"/>
                <w:szCs w:val="20"/>
                <w:lang w:eastAsia="sl-SI"/>
              </w:rPr>
              <w:t>HABITATNI TIPI</w:t>
            </w:r>
          </w:p>
        </w:tc>
        <w:tc>
          <w:tcPr>
            <w:tcW w:w="698" w:type="pct"/>
            <w:tcBorders>
              <w:top w:val="double" w:sz="4" w:space="0" w:color="auto"/>
              <w:left w:val="dashSmallGap" w:sz="4" w:space="0" w:color="auto"/>
              <w:bottom w:val="dashSmallGap" w:sz="4" w:space="0" w:color="auto"/>
              <w:right w:val="dashSmallGap" w:sz="4" w:space="0" w:color="auto"/>
            </w:tcBorders>
            <w:vAlign w:val="center"/>
          </w:tcPr>
          <w:p w14:paraId="6445F533" w14:textId="77777777" w:rsidR="008F7486" w:rsidRPr="008F7486" w:rsidRDefault="008F7486" w:rsidP="008F7486">
            <w:pPr>
              <w:spacing w:before="0" w:after="0" w:line="240" w:lineRule="auto"/>
              <w:jc w:val="center"/>
              <w:rPr>
                <w:rFonts w:ascii="Arial" w:eastAsia="Times New Roman" w:hAnsi="Arial" w:cs="Arial"/>
                <w:color w:val="000000"/>
                <w:sz w:val="16"/>
                <w:szCs w:val="16"/>
                <w:lang w:eastAsia="sl-SI"/>
              </w:rPr>
            </w:pPr>
            <w:r w:rsidRPr="008F7486">
              <w:rPr>
                <w:rFonts w:ascii="Arial" w:eastAsia="Times New Roman" w:hAnsi="Arial" w:cs="Arial"/>
                <w:color w:val="000000"/>
                <w:sz w:val="16"/>
                <w:szCs w:val="16"/>
                <w:lang w:eastAsia="sl-SI"/>
              </w:rPr>
              <w:t>POPISI</w:t>
            </w:r>
          </w:p>
        </w:tc>
        <w:tc>
          <w:tcPr>
            <w:tcW w:w="930" w:type="pct"/>
            <w:tcBorders>
              <w:top w:val="double" w:sz="4" w:space="0" w:color="auto"/>
              <w:left w:val="dashSmallGap" w:sz="4" w:space="0" w:color="auto"/>
              <w:bottom w:val="dashSmallGap" w:sz="4" w:space="0" w:color="auto"/>
              <w:right w:val="dashSmallGap" w:sz="4" w:space="0" w:color="auto"/>
            </w:tcBorders>
            <w:shd w:val="clear" w:color="auto" w:fill="auto"/>
            <w:vAlign w:val="center"/>
            <w:hideMark/>
          </w:tcPr>
          <w:p w14:paraId="6ADC8A9A"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1x pred pričetkom gradnje (v času pripravljalnih del)</w:t>
            </w:r>
          </w:p>
          <w:p w14:paraId="29BE376C"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1x po končani gradnji</w:t>
            </w:r>
          </w:p>
        </w:tc>
        <w:tc>
          <w:tcPr>
            <w:tcW w:w="2558" w:type="pct"/>
            <w:tcBorders>
              <w:top w:val="double" w:sz="4" w:space="0" w:color="auto"/>
              <w:left w:val="dashSmallGap" w:sz="4" w:space="0" w:color="auto"/>
              <w:bottom w:val="dashSmallGap" w:sz="4" w:space="0" w:color="auto"/>
              <w:right w:val="single" w:sz="4" w:space="0" w:color="auto"/>
            </w:tcBorders>
            <w:shd w:val="clear" w:color="auto" w:fill="auto"/>
            <w:noWrap/>
            <w:vAlign w:val="center"/>
            <w:hideMark/>
          </w:tcPr>
          <w:p w14:paraId="0160FF48"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Popisi se izvajajo na celotnem območju gradbišč odprte trase in dostopnih cest, vključno s 50 m pasom v okolici večjih gradbišč (oziroma v pasu, ki ga strokovno predlaga izvajalec monitoringa) ter ob vodotokih (Glinščica, levi pritoki Osapske reke, Škofijski potok), dolvodno in gorvodno v dolžini 100 m.</w:t>
            </w:r>
          </w:p>
        </w:tc>
      </w:tr>
      <w:tr w:rsidR="008F7486" w:rsidRPr="008F7486" w14:paraId="513F23ED" w14:textId="77777777" w:rsidTr="003014A9">
        <w:trPr>
          <w:cantSplit/>
          <w:trHeight w:val="1305"/>
        </w:trPr>
        <w:tc>
          <w:tcPr>
            <w:tcW w:w="814" w:type="pct"/>
            <w:vMerge/>
            <w:tcBorders>
              <w:left w:val="single" w:sz="4" w:space="0" w:color="auto"/>
              <w:bottom w:val="single" w:sz="12" w:space="0" w:color="auto"/>
              <w:right w:val="dashSmallGap" w:sz="4" w:space="0" w:color="auto"/>
            </w:tcBorders>
            <w:shd w:val="clear" w:color="auto" w:fill="auto"/>
            <w:vAlign w:val="center"/>
          </w:tcPr>
          <w:p w14:paraId="62954DCA" w14:textId="77777777" w:rsidR="008F7486" w:rsidRPr="008F7486" w:rsidRDefault="008F7486" w:rsidP="008F7486">
            <w:pPr>
              <w:spacing w:before="0" w:after="0" w:line="240" w:lineRule="auto"/>
              <w:jc w:val="left"/>
              <w:rPr>
                <w:rFonts w:ascii="Arial" w:eastAsia="Times New Roman" w:hAnsi="Arial" w:cs="Arial"/>
                <w:color w:val="000000"/>
                <w:sz w:val="20"/>
                <w:szCs w:val="20"/>
                <w:lang w:eastAsia="sl-SI"/>
              </w:rPr>
            </w:pPr>
          </w:p>
        </w:tc>
        <w:tc>
          <w:tcPr>
            <w:tcW w:w="698" w:type="pct"/>
            <w:tcBorders>
              <w:top w:val="dashSmallGap" w:sz="4" w:space="0" w:color="auto"/>
              <w:left w:val="dashSmallGap" w:sz="4" w:space="0" w:color="auto"/>
              <w:bottom w:val="single" w:sz="12" w:space="0" w:color="auto"/>
              <w:right w:val="dashSmallGap" w:sz="4" w:space="0" w:color="auto"/>
            </w:tcBorders>
            <w:vAlign w:val="center"/>
          </w:tcPr>
          <w:p w14:paraId="14D6267F" w14:textId="77777777" w:rsidR="008F7486" w:rsidRPr="008F7486" w:rsidRDefault="008F7486" w:rsidP="008F7486">
            <w:pPr>
              <w:spacing w:before="0" w:after="0" w:line="240" w:lineRule="auto"/>
              <w:jc w:val="center"/>
              <w:rPr>
                <w:rFonts w:ascii="Arial" w:eastAsia="Times New Roman" w:hAnsi="Arial" w:cs="Arial"/>
                <w:color w:val="000000"/>
                <w:sz w:val="16"/>
                <w:szCs w:val="16"/>
                <w:lang w:eastAsia="sl-SI"/>
              </w:rPr>
            </w:pPr>
            <w:r w:rsidRPr="008F7486">
              <w:rPr>
                <w:rFonts w:ascii="Arial" w:eastAsia="Times New Roman" w:hAnsi="Arial" w:cs="Arial"/>
                <w:color w:val="000000"/>
                <w:sz w:val="16"/>
                <w:szCs w:val="16"/>
                <w:lang w:eastAsia="sl-SI"/>
              </w:rPr>
              <w:t>MONITORING</w:t>
            </w:r>
          </w:p>
        </w:tc>
        <w:tc>
          <w:tcPr>
            <w:tcW w:w="930" w:type="pct"/>
            <w:tcBorders>
              <w:top w:val="dashSmallGap" w:sz="4" w:space="0" w:color="auto"/>
              <w:left w:val="dashSmallGap" w:sz="4" w:space="0" w:color="auto"/>
              <w:bottom w:val="single" w:sz="12" w:space="0" w:color="auto"/>
              <w:right w:val="dashSmallGap" w:sz="4" w:space="0" w:color="auto"/>
            </w:tcBorders>
            <w:shd w:val="clear" w:color="auto" w:fill="auto"/>
            <w:vAlign w:val="center"/>
          </w:tcPr>
          <w:p w14:paraId="768F94C6"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Vizualno v povprečju 1x mesečno v času gradnje, ki bo trajala predvidoma 84 mesecev</w:t>
            </w:r>
          </w:p>
        </w:tc>
        <w:tc>
          <w:tcPr>
            <w:tcW w:w="2558" w:type="pct"/>
            <w:tcBorders>
              <w:top w:val="dashSmallGap" w:sz="4" w:space="0" w:color="auto"/>
              <w:left w:val="dashSmallGap" w:sz="4" w:space="0" w:color="auto"/>
              <w:bottom w:val="single" w:sz="12" w:space="0" w:color="auto"/>
              <w:right w:val="single" w:sz="4" w:space="0" w:color="auto"/>
            </w:tcBorders>
            <w:shd w:val="clear" w:color="auto" w:fill="auto"/>
            <w:noWrap/>
            <w:vAlign w:val="center"/>
          </w:tcPr>
          <w:p w14:paraId="7D4B6A6F"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Monitoring habitatnih tipov na zgoraj opredeljenem območju se izvaja vizualno v povprečju 1x mesečno. Ob vsakem ogledu se stanje fotodokumentira. Monitoring se izvaja tudi ob vodotokih (Glinščica, levi pritoki Osapske reke, Škofijski potok).</w:t>
            </w:r>
          </w:p>
        </w:tc>
      </w:tr>
      <w:tr w:rsidR="008F7486" w:rsidRPr="008F7486" w14:paraId="31276522" w14:textId="77777777" w:rsidTr="003014A9">
        <w:trPr>
          <w:cantSplit/>
          <w:trHeight w:val="1350"/>
        </w:trPr>
        <w:tc>
          <w:tcPr>
            <w:tcW w:w="814" w:type="pct"/>
            <w:vMerge w:val="restart"/>
            <w:tcBorders>
              <w:top w:val="single" w:sz="12" w:space="0" w:color="auto"/>
              <w:left w:val="single" w:sz="4" w:space="0" w:color="auto"/>
              <w:right w:val="dashSmallGap" w:sz="4" w:space="0" w:color="auto"/>
            </w:tcBorders>
            <w:shd w:val="clear" w:color="auto" w:fill="auto"/>
            <w:vAlign w:val="center"/>
            <w:hideMark/>
          </w:tcPr>
          <w:p w14:paraId="61707F16" w14:textId="77777777" w:rsidR="008F7486" w:rsidRPr="008F7486" w:rsidRDefault="008F7486" w:rsidP="008F7486">
            <w:pPr>
              <w:spacing w:before="0" w:after="0" w:line="240" w:lineRule="auto"/>
              <w:jc w:val="left"/>
              <w:rPr>
                <w:rFonts w:ascii="Arial" w:eastAsia="Times New Roman" w:hAnsi="Arial" w:cs="Arial"/>
                <w:b/>
                <w:color w:val="000000"/>
                <w:sz w:val="20"/>
                <w:szCs w:val="20"/>
                <w:lang w:eastAsia="sl-SI"/>
              </w:rPr>
            </w:pPr>
            <w:bookmarkStart w:id="0" w:name="_GoBack"/>
            <w:bookmarkEnd w:id="0"/>
            <w:r w:rsidRPr="008F7486">
              <w:rPr>
                <w:rFonts w:ascii="Arial" w:eastAsia="Times New Roman" w:hAnsi="Arial" w:cs="Arial"/>
                <w:b/>
                <w:color w:val="000000"/>
                <w:sz w:val="20"/>
                <w:szCs w:val="20"/>
                <w:lang w:eastAsia="sl-SI"/>
              </w:rPr>
              <w:t>VODNI ORGANIZMI</w:t>
            </w:r>
          </w:p>
        </w:tc>
        <w:tc>
          <w:tcPr>
            <w:tcW w:w="698" w:type="pct"/>
            <w:tcBorders>
              <w:top w:val="single" w:sz="12" w:space="0" w:color="auto"/>
              <w:left w:val="dashSmallGap" w:sz="4" w:space="0" w:color="auto"/>
              <w:bottom w:val="dashSmallGap" w:sz="4" w:space="0" w:color="auto"/>
              <w:right w:val="dashSmallGap" w:sz="4" w:space="0" w:color="auto"/>
            </w:tcBorders>
            <w:vAlign w:val="center"/>
          </w:tcPr>
          <w:p w14:paraId="33C860F6" w14:textId="77777777" w:rsidR="008F7486" w:rsidRPr="008F7486" w:rsidRDefault="008F7486" w:rsidP="008F7486">
            <w:pPr>
              <w:spacing w:before="0" w:after="0" w:line="240" w:lineRule="auto"/>
              <w:jc w:val="center"/>
              <w:rPr>
                <w:rFonts w:ascii="Arial" w:eastAsia="Times New Roman" w:hAnsi="Arial" w:cs="Arial"/>
                <w:color w:val="000000"/>
                <w:sz w:val="16"/>
                <w:szCs w:val="16"/>
                <w:lang w:eastAsia="sl-SI"/>
              </w:rPr>
            </w:pPr>
            <w:r w:rsidRPr="008F7486">
              <w:rPr>
                <w:rFonts w:ascii="Arial" w:eastAsia="Times New Roman" w:hAnsi="Arial" w:cs="Arial"/>
                <w:color w:val="000000"/>
                <w:sz w:val="16"/>
                <w:szCs w:val="16"/>
                <w:lang w:eastAsia="sl-SI"/>
              </w:rPr>
              <w:t>POPISI</w:t>
            </w:r>
          </w:p>
        </w:tc>
        <w:tc>
          <w:tcPr>
            <w:tcW w:w="930" w:type="pct"/>
            <w:tcBorders>
              <w:top w:val="single" w:sz="12" w:space="0" w:color="auto"/>
              <w:left w:val="dashSmallGap" w:sz="4" w:space="0" w:color="auto"/>
              <w:bottom w:val="dashSmallGap" w:sz="4" w:space="0" w:color="auto"/>
              <w:right w:val="dashSmallGap" w:sz="4" w:space="0" w:color="auto"/>
            </w:tcBorders>
            <w:shd w:val="clear" w:color="auto" w:fill="auto"/>
            <w:vAlign w:val="center"/>
            <w:hideMark/>
          </w:tcPr>
          <w:p w14:paraId="293C7B69"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1x pred pričetkom gradnje (v času pripravljalnih del),</w:t>
            </w:r>
          </w:p>
          <w:p w14:paraId="10572DE9"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1x v času gradnje,</w:t>
            </w:r>
          </w:p>
          <w:p w14:paraId="7B88F10C"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1x po končani gradnji</w:t>
            </w:r>
          </w:p>
        </w:tc>
        <w:tc>
          <w:tcPr>
            <w:tcW w:w="2558" w:type="pct"/>
            <w:tcBorders>
              <w:top w:val="single" w:sz="12" w:space="0" w:color="auto"/>
              <w:left w:val="dashSmallGap" w:sz="4" w:space="0" w:color="auto"/>
              <w:bottom w:val="dashSmallGap" w:sz="4" w:space="0" w:color="auto"/>
              <w:right w:val="single" w:sz="4" w:space="0" w:color="auto"/>
            </w:tcBorders>
            <w:shd w:val="clear" w:color="auto" w:fill="auto"/>
            <w:noWrap/>
            <w:vAlign w:val="center"/>
            <w:hideMark/>
          </w:tcPr>
          <w:p w14:paraId="4F945C69"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Popisi se izvajajo v:</w:t>
            </w:r>
          </w:p>
          <w:p w14:paraId="09A9F626"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 Glinščici (merilno mesto dolvodno od posega, približno 1 km pred državno mejo),</w:t>
            </w:r>
          </w:p>
          <w:p w14:paraId="5854C6A7"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-Osapski reki (merilno mesto dolvodno od posega, približno 100m pred državno mejo),</w:t>
            </w:r>
          </w:p>
          <w:p w14:paraId="4755CD02"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-Škofijskem potoku.</w:t>
            </w:r>
          </w:p>
          <w:p w14:paraId="41A6A57C"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Popisi se izvedejo po metodologiji za ocenjevanje ekološkega stanja voda (fitobentos, bentoški nevretenčarji).</w:t>
            </w:r>
          </w:p>
        </w:tc>
      </w:tr>
      <w:tr w:rsidR="008F7486" w:rsidRPr="008F7486" w14:paraId="647AB99B" w14:textId="77777777" w:rsidTr="003014A9">
        <w:trPr>
          <w:cantSplit/>
          <w:trHeight w:val="1350"/>
        </w:trPr>
        <w:tc>
          <w:tcPr>
            <w:tcW w:w="814" w:type="pct"/>
            <w:vMerge/>
            <w:tcBorders>
              <w:left w:val="single" w:sz="4" w:space="0" w:color="auto"/>
              <w:bottom w:val="single" w:sz="4" w:space="0" w:color="auto"/>
              <w:right w:val="dashSmallGap" w:sz="4" w:space="0" w:color="auto"/>
            </w:tcBorders>
            <w:shd w:val="clear" w:color="auto" w:fill="auto"/>
            <w:vAlign w:val="center"/>
          </w:tcPr>
          <w:p w14:paraId="4F5F9015" w14:textId="77777777" w:rsidR="008F7486" w:rsidRPr="008F7486" w:rsidRDefault="008F7486" w:rsidP="008F7486">
            <w:pPr>
              <w:spacing w:before="0" w:after="0" w:line="240" w:lineRule="auto"/>
              <w:jc w:val="left"/>
              <w:rPr>
                <w:rFonts w:ascii="Arial" w:eastAsia="Times New Roman" w:hAnsi="Arial" w:cs="Arial"/>
                <w:color w:val="000000"/>
                <w:sz w:val="18"/>
                <w:szCs w:val="18"/>
                <w:lang w:eastAsia="sl-SI"/>
              </w:rPr>
            </w:pPr>
          </w:p>
        </w:tc>
        <w:tc>
          <w:tcPr>
            <w:tcW w:w="698" w:type="pct"/>
            <w:tcBorders>
              <w:top w:val="dashSmallGap" w:sz="4" w:space="0" w:color="auto"/>
              <w:left w:val="dashSmallGap" w:sz="4" w:space="0" w:color="auto"/>
              <w:bottom w:val="single" w:sz="4" w:space="0" w:color="auto"/>
              <w:right w:val="dashSmallGap" w:sz="4" w:space="0" w:color="auto"/>
            </w:tcBorders>
            <w:vAlign w:val="center"/>
          </w:tcPr>
          <w:p w14:paraId="20276174" w14:textId="77777777" w:rsidR="008F7486" w:rsidRPr="008F7486" w:rsidRDefault="008F7486" w:rsidP="008F7486">
            <w:pPr>
              <w:spacing w:before="0" w:after="0" w:line="240" w:lineRule="auto"/>
              <w:jc w:val="center"/>
              <w:rPr>
                <w:rFonts w:ascii="Arial" w:eastAsia="Times New Roman" w:hAnsi="Arial" w:cs="Arial"/>
                <w:color w:val="000000"/>
                <w:sz w:val="16"/>
                <w:szCs w:val="16"/>
                <w:lang w:eastAsia="sl-SI"/>
              </w:rPr>
            </w:pPr>
            <w:r w:rsidRPr="008F7486">
              <w:rPr>
                <w:rFonts w:ascii="Arial" w:eastAsia="Times New Roman" w:hAnsi="Arial" w:cs="Arial"/>
                <w:color w:val="000000"/>
                <w:sz w:val="16"/>
                <w:szCs w:val="16"/>
                <w:lang w:eastAsia="sl-SI"/>
              </w:rPr>
              <w:t>MONITORING</w:t>
            </w:r>
          </w:p>
        </w:tc>
        <w:tc>
          <w:tcPr>
            <w:tcW w:w="930" w:type="pct"/>
            <w:tcBorders>
              <w:top w:val="dashSmallGap" w:sz="4" w:space="0" w:color="auto"/>
              <w:left w:val="dashSmallGap" w:sz="4" w:space="0" w:color="auto"/>
              <w:bottom w:val="single" w:sz="4" w:space="0" w:color="auto"/>
              <w:right w:val="dashSmallGap" w:sz="4" w:space="0" w:color="auto"/>
            </w:tcBorders>
            <w:shd w:val="clear" w:color="auto" w:fill="auto"/>
            <w:vAlign w:val="center"/>
          </w:tcPr>
          <w:p w14:paraId="21D2613B" w14:textId="77777777" w:rsidR="008F7486" w:rsidRPr="008F7486" w:rsidRDefault="008F7486" w:rsidP="008F7486">
            <w:pPr>
              <w:spacing w:before="0" w:after="0" w:line="300" w:lineRule="atLeast"/>
              <w:jc w:val="left"/>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Vizualno 1x mesečno v času gradnje, ki bo trajala predvidoma 84 mesecev</w:t>
            </w:r>
          </w:p>
        </w:tc>
        <w:tc>
          <w:tcPr>
            <w:tcW w:w="2558" w:type="pct"/>
            <w:tcBorders>
              <w:top w:val="dashSmallGap" w:sz="4" w:space="0" w:color="auto"/>
              <w:left w:val="dashSmallGap" w:sz="4" w:space="0" w:color="auto"/>
              <w:bottom w:val="single" w:sz="4" w:space="0" w:color="auto"/>
              <w:right w:val="single" w:sz="4" w:space="0" w:color="auto"/>
            </w:tcBorders>
            <w:shd w:val="clear" w:color="auto" w:fill="auto"/>
            <w:noWrap/>
            <w:vAlign w:val="center"/>
          </w:tcPr>
          <w:p w14:paraId="1EE8CFDB" w14:textId="77777777" w:rsidR="008F7486" w:rsidRPr="008F7486" w:rsidRDefault="008F7486" w:rsidP="008F7486">
            <w:pPr>
              <w:spacing w:before="0" w:after="0" w:line="240" w:lineRule="auto"/>
              <w:rPr>
                <w:rFonts w:ascii="Arial" w:eastAsia="Times New Roman" w:hAnsi="Arial" w:cs="Arial"/>
                <w:color w:val="000000"/>
                <w:sz w:val="20"/>
                <w:szCs w:val="20"/>
                <w:lang w:eastAsia="sl-SI"/>
              </w:rPr>
            </w:pPr>
            <w:r w:rsidRPr="008F7486">
              <w:rPr>
                <w:rFonts w:ascii="Arial" w:eastAsia="Times New Roman" w:hAnsi="Arial" w:cs="Arial"/>
                <w:color w:val="000000"/>
                <w:sz w:val="20"/>
                <w:szCs w:val="20"/>
                <w:lang w:eastAsia="sl-SI"/>
              </w:rPr>
              <w:t>Monitoring med gradnjo se izvaja vizualno v povprečju enkrat mesečno v času gradnje, na vodotokih Glinščica, Osapska reka in Škofijskem potoku.</w:t>
            </w:r>
          </w:p>
        </w:tc>
      </w:tr>
    </w:tbl>
    <w:p w14:paraId="532F603A" w14:textId="77777777" w:rsidR="008F7486" w:rsidRPr="008F7486" w:rsidRDefault="008F7486" w:rsidP="008F7486">
      <w:pPr>
        <w:spacing w:before="0" w:after="0" w:line="260" w:lineRule="atLeast"/>
        <w:rPr>
          <w:rFonts w:ascii="Arial" w:eastAsia="Times New Roman" w:hAnsi="Arial" w:cs="Arial"/>
          <w:sz w:val="20"/>
          <w:szCs w:val="20"/>
        </w:rPr>
      </w:pPr>
    </w:p>
    <w:p w14:paraId="5B8B60A5" w14:textId="77777777" w:rsidR="008F7486" w:rsidRPr="008F7486" w:rsidRDefault="008F7486" w:rsidP="008F7486">
      <w:pPr>
        <w:spacing w:before="0" w:after="0" w:line="260" w:lineRule="atLeast"/>
        <w:rPr>
          <w:rFonts w:ascii="Arial" w:eastAsia="Times New Roman" w:hAnsi="Arial" w:cs="Arial"/>
          <w:sz w:val="20"/>
          <w:szCs w:val="20"/>
        </w:rPr>
      </w:pPr>
      <w:r w:rsidRPr="008F7486">
        <w:rPr>
          <w:rFonts w:ascii="Arial" w:eastAsia="Times New Roman" w:hAnsi="Arial" w:cs="Arial"/>
          <w:sz w:val="20"/>
          <w:szCs w:val="20"/>
        </w:rPr>
        <w:t>Izvajalec monitoringa pogostost izvajanja monitoringa prilagodi terminskemu planu izvajanja gradnje in življenjskemu ciklu spremljane vrste oz. skupine.</w:t>
      </w:r>
    </w:p>
    <w:p w14:paraId="0D07700A" w14:textId="77777777" w:rsidR="008F7486" w:rsidRPr="008F7486" w:rsidRDefault="008F7486" w:rsidP="008F7486">
      <w:pPr>
        <w:spacing w:before="0" w:after="0" w:line="260" w:lineRule="atLeast"/>
        <w:rPr>
          <w:rFonts w:ascii="Arial" w:eastAsia="Times New Roman" w:hAnsi="Arial" w:cs="Arial"/>
          <w:sz w:val="20"/>
          <w:szCs w:val="20"/>
        </w:rPr>
      </w:pPr>
    </w:p>
    <w:p w14:paraId="7161D7CB" w14:textId="77777777" w:rsidR="008F7486" w:rsidRPr="008F7486" w:rsidRDefault="008F7486" w:rsidP="008F7486">
      <w:pPr>
        <w:spacing w:before="0" w:after="0" w:line="260" w:lineRule="atLeast"/>
        <w:rPr>
          <w:rFonts w:ascii="Arial" w:eastAsia="Times New Roman" w:hAnsi="Arial" w:cs="Arial"/>
          <w:sz w:val="20"/>
          <w:szCs w:val="20"/>
        </w:rPr>
      </w:pPr>
      <w:r w:rsidRPr="008F7486">
        <w:rPr>
          <w:rFonts w:ascii="Arial" w:eastAsia="Times New Roman" w:hAnsi="Arial" w:cs="Arial"/>
          <w:sz w:val="20"/>
          <w:szCs w:val="20"/>
        </w:rPr>
        <w:t>Izvajalec monitoringa v sklopu naloge v primeru ugotovljenih prekomernih vplivov predpiše tudi omilitvene ukrepe, ki jih je potrebno izvajati in ki jih potrdi ZRSVN.</w:t>
      </w:r>
    </w:p>
    <w:p w14:paraId="51A06E5F" w14:textId="77777777" w:rsidR="008F7486" w:rsidRPr="008F7486" w:rsidRDefault="008F7486" w:rsidP="008F7486">
      <w:pPr>
        <w:spacing w:before="0" w:after="0" w:line="260" w:lineRule="atLeast"/>
        <w:rPr>
          <w:rFonts w:ascii="Arial" w:eastAsia="Times New Roman" w:hAnsi="Arial" w:cs="Arial"/>
          <w:sz w:val="20"/>
          <w:szCs w:val="20"/>
        </w:rPr>
      </w:pPr>
    </w:p>
    <w:p w14:paraId="12B71472" w14:textId="77777777" w:rsidR="008F7486" w:rsidRPr="008F7486" w:rsidRDefault="008F7486" w:rsidP="008F7486">
      <w:pPr>
        <w:numPr>
          <w:ilvl w:val="0"/>
          <w:numId w:val="20"/>
        </w:numPr>
        <w:spacing w:before="360" w:after="0" w:line="240" w:lineRule="auto"/>
        <w:ind w:left="714" w:hanging="357"/>
        <w:contextualSpacing/>
        <w:jc w:val="left"/>
        <w:rPr>
          <w:rFonts w:ascii="Arial" w:eastAsia="Calibri" w:hAnsi="Arial" w:cs="Arial"/>
          <w:b/>
          <w:sz w:val="20"/>
          <w:szCs w:val="20"/>
        </w:rPr>
      </w:pPr>
      <w:r w:rsidRPr="008F7486">
        <w:rPr>
          <w:rFonts w:ascii="Arial" w:eastAsia="Calibri" w:hAnsi="Arial" w:cs="Arial"/>
          <w:b/>
          <w:sz w:val="20"/>
          <w:szCs w:val="20"/>
        </w:rPr>
        <w:t>OSTALE OBVEZNOSTI IZVAJALCA</w:t>
      </w:r>
    </w:p>
    <w:p w14:paraId="14981C67" w14:textId="77777777" w:rsidR="008F7486" w:rsidRPr="008F7486" w:rsidRDefault="008F7486" w:rsidP="008F7486">
      <w:pPr>
        <w:spacing w:before="0" w:after="0" w:line="260" w:lineRule="atLeast"/>
        <w:rPr>
          <w:rFonts w:ascii="Arial" w:eastAsia="Times New Roman" w:hAnsi="Arial" w:cs="Arial"/>
          <w:sz w:val="20"/>
          <w:szCs w:val="20"/>
        </w:rPr>
      </w:pPr>
    </w:p>
    <w:p w14:paraId="2A865DBB" w14:textId="77777777" w:rsidR="008F7486" w:rsidRPr="008F7486" w:rsidRDefault="008F7486" w:rsidP="008F7486">
      <w:pPr>
        <w:spacing w:before="0" w:after="0" w:line="260" w:lineRule="atLeast"/>
        <w:rPr>
          <w:rFonts w:ascii="Arial" w:eastAsia="Times New Roman" w:hAnsi="Arial" w:cs="Arial"/>
          <w:sz w:val="20"/>
          <w:szCs w:val="20"/>
        </w:rPr>
      </w:pPr>
      <w:r w:rsidRPr="008F7486">
        <w:rPr>
          <w:rFonts w:ascii="Arial" w:eastAsia="Times New Roman" w:hAnsi="Arial" w:cs="Arial"/>
          <w:sz w:val="20"/>
          <w:szCs w:val="20"/>
        </w:rPr>
        <w:t>Izvajalec ima poleg vseh zgoraj navedenih nalog še sledeče obveznosti:</w:t>
      </w:r>
    </w:p>
    <w:p w14:paraId="7FC69F41" w14:textId="35C6FBE5" w:rsidR="008F7486" w:rsidRPr="008F7486" w:rsidRDefault="008F7486" w:rsidP="008F7486">
      <w:pPr>
        <w:widowControl w:val="0"/>
        <w:numPr>
          <w:ilvl w:val="0"/>
          <w:numId w:val="22"/>
        </w:numPr>
        <w:spacing w:before="0" w:after="0" w:line="300" w:lineRule="atLeast"/>
        <w:ind w:left="425"/>
        <w:contextualSpacing/>
        <w:jc w:val="left"/>
        <w:rPr>
          <w:rFonts w:ascii="Arial" w:eastAsia="Calibri" w:hAnsi="Arial" w:cs="Arial"/>
          <w:sz w:val="20"/>
          <w:szCs w:val="20"/>
        </w:rPr>
      </w:pPr>
      <w:bookmarkStart w:id="1" w:name="_Hlk536714523"/>
      <w:r w:rsidRPr="008F7486">
        <w:rPr>
          <w:rFonts w:ascii="Arial" w:eastAsia="Calibri" w:hAnsi="Arial" w:cs="Arial"/>
          <w:sz w:val="20"/>
          <w:szCs w:val="20"/>
        </w:rPr>
        <w:t xml:space="preserve">Navesti mora </w:t>
      </w:r>
      <w:r w:rsidR="0071228F">
        <w:rPr>
          <w:rFonts w:ascii="Arial" w:eastAsia="Calibri" w:hAnsi="Arial" w:cs="Arial"/>
          <w:sz w:val="20"/>
          <w:szCs w:val="20"/>
        </w:rPr>
        <w:t xml:space="preserve">osebo, ki bo opravljala naloge </w:t>
      </w:r>
      <w:r w:rsidRPr="008F7486">
        <w:rPr>
          <w:rFonts w:ascii="Arial" w:eastAsia="Calibri" w:hAnsi="Arial" w:cs="Arial"/>
          <w:b/>
          <w:sz w:val="20"/>
          <w:szCs w:val="20"/>
        </w:rPr>
        <w:t>vodj</w:t>
      </w:r>
      <w:r w:rsidR="0071228F">
        <w:rPr>
          <w:rFonts w:ascii="Arial" w:eastAsia="Calibri" w:hAnsi="Arial" w:cs="Arial"/>
          <w:b/>
          <w:sz w:val="20"/>
          <w:szCs w:val="20"/>
        </w:rPr>
        <w:t>e</w:t>
      </w:r>
      <w:r w:rsidRPr="008F7486">
        <w:rPr>
          <w:rFonts w:ascii="Arial" w:eastAsia="Calibri" w:hAnsi="Arial" w:cs="Arial"/>
          <w:b/>
          <w:sz w:val="20"/>
          <w:szCs w:val="20"/>
        </w:rPr>
        <w:t xml:space="preserve"> </w:t>
      </w:r>
      <w:r w:rsidR="00B71611">
        <w:rPr>
          <w:rFonts w:ascii="Arial" w:eastAsia="Calibri" w:hAnsi="Arial" w:cs="Arial"/>
          <w:b/>
          <w:sz w:val="20"/>
          <w:szCs w:val="20"/>
        </w:rPr>
        <w:t>(</w:t>
      </w:r>
      <w:r w:rsidRPr="008F7486">
        <w:rPr>
          <w:rFonts w:ascii="Arial" w:eastAsia="Calibri" w:hAnsi="Arial" w:cs="Arial"/>
          <w:b/>
          <w:sz w:val="20"/>
          <w:szCs w:val="20"/>
        </w:rPr>
        <w:t>koordinatorja</w:t>
      </w:r>
      <w:r w:rsidR="00B71611">
        <w:rPr>
          <w:rFonts w:ascii="Arial" w:eastAsia="Calibri" w:hAnsi="Arial" w:cs="Arial"/>
          <w:b/>
          <w:sz w:val="20"/>
          <w:szCs w:val="20"/>
        </w:rPr>
        <w:t>)</w:t>
      </w:r>
      <w:r w:rsidRPr="008F7486">
        <w:rPr>
          <w:rFonts w:ascii="Arial" w:eastAsia="Calibri" w:hAnsi="Arial" w:cs="Arial"/>
          <w:b/>
          <w:sz w:val="20"/>
          <w:szCs w:val="20"/>
        </w:rPr>
        <w:t xml:space="preserve"> celotne naloge</w:t>
      </w:r>
      <w:r w:rsidRPr="008F7486">
        <w:rPr>
          <w:rFonts w:ascii="Arial" w:eastAsia="Calibri" w:hAnsi="Arial" w:cs="Arial"/>
          <w:sz w:val="20"/>
          <w:szCs w:val="20"/>
        </w:rPr>
        <w:t xml:space="preserve">, ki se udeležuje koordinacij z naročnikom in drugimi izvajalci oziroma pristojnimi službami. Vodja naloge se mora udeleževati rednih koordinacijskih sestankov (1x mesečno), kjer poroča tudi o stanju izvajanja naloge. </w:t>
      </w:r>
      <w:r w:rsidR="00B71611">
        <w:rPr>
          <w:rFonts w:ascii="Arial" w:eastAsia="Calibri" w:hAnsi="Arial" w:cs="Arial"/>
          <w:sz w:val="20"/>
          <w:szCs w:val="20"/>
        </w:rPr>
        <w:t>K</w:t>
      </w:r>
      <w:r w:rsidRPr="008F7486">
        <w:rPr>
          <w:rFonts w:ascii="Arial" w:eastAsia="Calibri" w:hAnsi="Arial" w:cs="Arial"/>
          <w:sz w:val="20"/>
          <w:szCs w:val="20"/>
        </w:rPr>
        <w:t xml:space="preserve">oordinacije </w:t>
      </w:r>
      <w:r w:rsidR="00B71611">
        <w:rPr>
          <w:rFonts w:ascii="Arial" w:eastAsia="Calibri" w:hAnsi="Arial" w:cs="Arial"/>
          <w:sz w:val="20"/>
          <w:szCs w:val="20"/>
        </w:rPr>
        <w:t>se bodo izvajale v Ljubljani pri naročniku</w:t>
      </w:r>
      <w:r w:rsidRPr="008F7486">
        <w:rPr>
          <w:rFonts w:ascii="Arial" w:eastAsia="Calibri" w:hAnsi="Arial" w:cs="Arial"/>
          <w:sz w:val="20"/>
          <w:szCs w:val="20"/>
        </w:rPr>
        <w:t>.</w:t>
      </w:r>
    </w:p>
    <w:p w14:paraId="6834B64B" w14:textId="77777777" w:rsidR="008F7486" w:rsidRPr="008F7486" w:rsidRDefault="008F7486" w:rsidP="008F7486">
      <w:pPr>
        <w:widowControl w:val="0"/>
        <w:numPr>
          <w:ilvl w:val="0"/>
          <w:numId w:val="22"/>
        </w:numPr>
        <w:spacing w:before="0" w:after="0" w:line="300" w:lineRule="atLeast"/>
        <w:ind w:left="425"/>
        <w:contextualSpacing/>
        <w:jc w:val="left"/>
        <w:rPr>
          <w:rFonts w:ascii="Arial" w:eastAsia="Calibri" w:hAnsi="Arial" w:cs="Arial"/>
          <w:sz w:val="20"/>
          <w:szCs w:val="20"/>
        </w:rPr>
      </w:pPr>
      <w:r w:rsidRPr="008F7486">
        <w:rPr>
          <w:rFonts w:ascii="Arial" w:eastAsia="Calibri" w:hAnsi="Arial" w:cs="Arial"/>
          <w:sz w:val="20"/>
          <w:szCs w:val="20"/>
        </w:rPr>
        <w:lastRenderedPageBreak/>
        <w:t>Dela izvršiti v skladu z opisom naročila in pogodbo in zahtevah naročnika, strokovno pravilno po vseh sodobnih izsledkih znanosti in stroke, vestno in kvalitetno, v skladu z vsemi veljavnimi predpisi in standardi.</w:t>
      </w:r>
    </w:p>
    <w:p w14:paraId="49424D97" w14:textId="77777777" w:rsidR="008F7486" w:rsidRPr="008F7486" w:rsidRDefault="008F7486" w:rsidP="008F7486">
      <w:pPr>
        <w:widowControl w:val="0"/>
        <w:numPr>
          <w:ilvl w:val="0"/>
          <w:numId w:val="22"/>
        </w:numPr>
        <w:spacing w:before="0" w:after="0" w:line="300" w:lineRule="atLeast"/>
        <w:ind w:left="425"/>
        <w:contextualSpacing/>
        <w:jc w:val="left"/>
        <w:rPr>
          <w:rFonts w:ascii="Arial" w:eastAsia="Calibri" w:hAnsi="Arial" w:cs="Arial"/>
          <w:sz w:val="20"/>
          <w:szCs w:val="20"/>
        </w:rPr>
      </w:pPr>
      <w:r w:rsidRPr="008F7486">
        <w:rPr>
          <w:rFonts w:ascii="Arial" w:eastAsia="Calibri" w:hAnsi="Arial" w:cs="Arial"/>
          <w:sz w:val="20"/>
          <w:szCs w:val="20"/>
        </w:rPr>
        <w:t>Pregledati vso razpoložljivo projektno dokumentacijo, ki je potrebna za izvedbo naloge, se seznaniti s terenom na katerem bo izvajal dela.</w:t>
      </w:r>
    </w:p>
    <w:p w14:paraId="0FA76B61" w14:textId="77777777" w:rsidR="008F7486" w:rsidRPr="008F7486" w:rsidRDefault="008F7486" w:rsidP="008F7486">
      <w:pPr>
        <w:widowControl w:val="0"/>
        <w:numPr>
          <w:ilvl w:val="0"/>
          <w:numId w:val="22"/>
        </w:numPr>
        <w:spacing w:before="0" w:after="0" w:line="300" w:lineRule="atLeast"/>
        <w:ind w:left="425"/>
        <w:contextualSpacing/>
        <w:jc w:val="left"/>
        <w:rPr>
          <w:rFonts w:ascii="Arial" w:eastAsia="Calibri" w:hAnsi="Arial" w:cs="Arial"/>
          <w:sz w:val="20"/>
          <w:szCs w:val="20"/>
        </w:rPr>
      </w:pPr>
      <w:r w:rsidRPr="008F7486">
        <w:rPr>
          <w:rFonts w:ascii="Arial" w:eastAsia="Calibri" w:hAnsi="Arial" w:cs="Arial"/>
          <w:sz w:val="20"/>
          <w:szCs w:val="20"/>
        </w:rPr>
        <w:t>Izvajalec monitoringa (popisov) bo ob uvedbi v delo seznanjen s terminskim planom izvajanja del, ter podrobnejšim obsegom glede na razpisana dela in z napredovanjem gradnje. Izvajalec monitoringa takoj po uvedbi v delo prične s popisom vrst/skupin ter v roku 14 dni po uvedbi v delo predloži predlog terminskega plana izvajanja popisov in monitoringa, ga uskladi z Naročnikom oz. njegovim Inženirjem, ter izvajalci gradbenih in drugih del in ga nadalje vsake tri mesece (oz. po potrebi) ažurira, glede na dejanski napredek gradnje. Pri tem mora upoštevati, da je pri izvedbi gradnje možna fazna gradnja in da je skladno s tem potrebno terminske plane prilagoditi, oz. za posamezne sklope na gradbišču pripraviti različne terminske plane.</w:t>
      </w:r>
    </w:p>
    <w:p w14:paraId="24CF33B1" w14:textId="77777777" w:rsidR="008F7486" w:rsidRPr="008F7486" w:rsidRDefault="008F7486" w:rsidP="008F7486">
      <w:pPr>
        <w:widowControl w:val="0"/>
        <w:spacing w:before="0" w:after="0" w:line="300" w:lineRule="atLeast"/>
        <w:ind w:left="425"/>
        <w:contextualSpacing/>
        <w:rPr>
          <w:rFonts w:ascii="Arial" w:eastAsia="Calibri" w:hAnsi="Arial" w:cs="Arial"/>
          <w:sz w:val="20"/>
          <w:szCs w:val="20"/>
        </w:rPr>
      </w:pPr>
      <w:r w:rsidRPr="008F7486">
        <w:rPr>
          <w:rFonts w:ascii="Arial" w:eastAsia="Calibri" w:hAnsi="Arial" w:cs="Arial"/>
          <w:sz w:val="20"/>
          <w:szCs w:val="20"/>
        </w:rPr>
        <w:t>Ker so popisi določenih vrst vezani na različne sezone (od februarja do julija), se v primeru pričetka gradnje in ne možnosti izvedbe popisa pred gradnjo uporabi zadnje razpoložljive podatke, katere si izvajalec priskrbi sam pri pristojni organizaciji (ZRSVN). Popisi se opravijo v prvem možnem terminu.</w:t>
      </w:r>
    </w:p>
    <w:p w14:paraId="3BFEE3C5" w14:textId="77777777" w:rsidR="008F7486" w:rsidRPr="008F7486" w:rsidRDefault="008F7486" w:rsidP="008F7486">
      <w:pPr>
        <w:widowControl w:val="0"/>
        <w:numPr>
          <w:ilvl w:val="0"/>
          <w:numId w:val="22"/>
        </w:numPr>
        <w:spacing w:before="0" w:after="0" w:line="300" w:lineRule="atLeast"/>
        <w:ind w:left="425"/>
        <w:contextualSpacing/>
        <w:jc w:val="left"/>
        <w:rPr>
          <w:rFonts w:ascii="Arial" w:eastAsia="Calibri" w:hAnsi="Arial" w:cs="Arial"/>
          <w:sz w:val="20"/>
          <w:szCs w:val="20"/>
        </w:rPr>
      </w:pPr>
      <w:r w:rsidRPr="008F7486">
        <w:rPr>
          <w:rFonts w:ascii="Arial" w:eastAsia="Calibri" w:hAnsi="Arial" w:cs="Arial"/>
          <w:sz w:val="20"/>
          <w:szCs w:val="20"/>
        </w:rPr>
        <w:t>Pravočasno opozoriti naročnika in njegovega inženirja na morebitne manjkajoče podatke, odstopanja od naravovarstvenih zahtev.</w:t>
      </w:r>
    </w:p>
    <w:bookmarkEnd w:id="1"/>
    <w:p w14:paraId="3C74C792" w14:textId="77777777" w:rsidR="008F7486" w:rsidRPr="008F7486" w:rsidRDefault="008F7486" w:rsidP="008F7486">
      <w:pPr>
        <w:spacing w:before="0" w:after="0" w:line="260" w:lineRule="atLeast"/>
        <w:rPr>
          <w:rFonts w:ascii="Arial" w:eastAsia="Times New Roman" w:hAnsi="Arial" w:cs="Arial"/>
          <w:sz w:val="20"/>
          <w:szCs w:val="20"/>
          <w:lang w:val="en-US"/>
        </w:rPr>
      </w:pPr>
    </w:p>
    <w:p w14:paraId="6718FF0F" w14:textId="77777777" w:rsidR="008F7486" w:rsidRPr="008F7486" w:rsidRDefault="008F7486" w:rsidP="008F7486">
      <w:pPr>
        <w:numPr>
          <w:ilvl w:val="0"/>
          <w:numId w:val="20"/>
        </w:numPr>
        <w:spacing w:before="360" w:after="0" w:line="240" w:lineRule="auto"/>
        <w:ind w:left="714" w:hanging="357"/>
        <w:contextualSpacing/>
        <w:jc w:val="left"/>
        <w:rPr>
          <w:rFonts w:ascii="Arial" w:eastAsia="Calibri" w:hAnsi="Arial" w:cs="Arial"/>
          <w:b/>
          <w:sz w:val="20"/>
          <w:szCs w:val="20"/>
        </w:rPr>
      </w:pPr>
      <w:r w:rsidRPr="008F7486">
        <w:rPr>
          <w:rFonts w:ascii="Arial" w:eastAsia="Calibri" w:hAnsi="Arial" w:cs="Arial"/>
          <w:b/>
          <w:sz w:val="20"/>
          <w:szCs w:val="20"/>
        </w:rPr>
        <w:t>ROKI IZDELAVE NALOGE IN ŠTEVILO IZVODOV</w:t>
      </w:r>
    </w:p>
    <w:p w14:paraId="44FDC62E" w14:textId="77777777" w:rsidR="008F7486" w:rsidRPr="008F7486" w:rsidRDefault="008F7486" w:rsidP="008F7486">
      <w:pPr>
        <w:spacing w:before="0" w:after="0" w:line="260" w:lineRule="atLeast"/>
        <w:rPr>
          <w:rFonts w:ascii="Arial" w:hAnsi="Arial" w:cs="Arial"/>
          <w:sz w:val="20"/>
          <w:szCs w:val="20"/>
        </w:rPr>
      </w:pPr>
    </w:p>
    <w:p w14:paraId="56A8A37C" w14:textId="77777777" w:rsidR="008F7486" w:rsidRPr="008F7486" w:rsidRDefault="008F7486" w:rsidP="008F7486">
      <w:pPr>
        <w:spacing w:before="0" w:after="0" w:line="260" w:lineRule="atLeast"/>
        <w:rPr>
          <w:rFonts w:ascii="Arial" w:hAnsi="Arial" w:cs="Arial"/>
          <w:sz w:val="20"/>
          <w:szCs w:val="20"/>
        </w:rPr>
      </w:pPr>
      <w:r w:rsidRPr="008F7486">
        <w:rPr>
          <w:rFonts w:ascii="Arial" w:hAnsi="Arial" w:cs="Arial"/>
          <w:sz w:val="20"/>
          <w:szCs w:val="20"/>
        </w:rPr>
        <w:t>Rok za izvedbo celotne naloge je 84 mesecev od uvedbe v delo oz. do zaključka gradnje drugega tira železniške proge Divača-Koper.</w:t>
      </w:r>
    </w:p>
    <w:p w14:paraId="1E949E8C" w14:textId="77777777" w:rsidR="008F7486" w:rsidRPr="008F7486" w:rsidRDefault="008F7486" w:rsidP="008F7486">
      <w:pPr>
        <w:spacing w:before="0" w:after="0" w:line="260" w:lineRule="atLeast"/>
        <w:rPr>
          <w:rFonts w:ascii="Arial" w:eastAsia="Times New Roman" w:hAnsi="Arial" w:cs="Arial"/>
          <w:sz w:val="20"/>
          <w:szCs w:val="20"/>
        </w:rPr>
      </w:pPr>
    </w:p>
    <w:p w14:paraId="469313CF" w14:textId="77777777" w:rsidR="008F7486" w:rsidRPr="008F7486" w:rsidRDefault="008F7486" w:rsidP="008F7486">
      <w:pPr>
        <w:spacing w:before="0" w:after="0" w:line="260" w:lineRule="atLeast"/>
        <w:rPr>
          <w:rFonts w:ascii="Arial" w:hAnsi="Arial" w:cs="Arial"/>
          <w:sz w:val="20"/>
          <w:szCs w:val="20"/>
          <w:u w:val="single"/>
        </w:rPr>
      </w:pPr>
      <w:r w:rsidRPr="008F7486">
        <w:rPr>
          <w:rFonts w:ascii="Arial" w:hAnsi="Arial" w:cs="Arial"/>
          <w:sz w:val="20"/>
          <w:szCs w:val="20"/>
          <w:u w:val="single"/>
        </w:rPr>
        <w:t>Poročila se oddajajo v naslednjih rokih:</w:t>
      </w:r>
    </w:p>
    <w:p w14:paraId="136BD9D3" w14:textId="77777777" w:rsidR="008F7486" w:rsidRPr="008F7486" w:rsidRDefault="008F7486" w:rsidP="008F7486">
      <w:pPr>
        <w:widowControl w:val="0"/>
        <w:numPr>
          <w:ilvl w:val="0"/>
          <w:numId w:val="21"/>
        </w:numPr>
        <w:spacing w:before="0" w:after="0" w:line="300" w:lineRule="atLeast"/>
        <w:ind w:left="714" w:hanging="357"/>
        <w:contextualSpacing/>
        <w:jc w:val="left"/>
        <w:rPr>
          <w:rFonts w:ascii="Arial" w:hAnsi="Arial" w:cs="Arial"/>
          <w:sz w:val="20"/>
          <w:szCs w:val="20"/>
        </w:rPr>
      </w:pPr>
      <w:r w:rsidRPr="008F7486">
        <w:rPr>
          <w:rFonts w:ascii="Arial" w:hAnsi="Arial" w:cs="Arial"/>
          <w:sz w:val="20"/>
          <w:szCs w:val="20"/>
        </w:rPr>
        <w:t>poročila o popisih - 10 dni po izvedenem popisu po posameznem sklopu,</w:t>
      </w:r>
    </w:p>
    <w:p w14:paraId="2B901D2A" w14:textId="77777777" w:rsidR="008F7486" w:rsidRPr="008F7486" w:rsidRDefault="008F7486" w:rsidP="008F7486">
      <w:pPr>
        <w:widowControl w:val="0"/>
        <w:numPr>
          <w:ilvl w:val="0"/>
          <w:numId w:val="21"/>
        </w:numPr>
        <w:spacing w:before="0" w:after="0" w:line="300" w:lineRule="atLeast"/>
        <w:ind w:left="714" w:hanging="357"/>
        <w:contextualSpacing/>
        <w:jc w:val="left"/>
        <w:rPr>
          <w:rFonts w:ascii="Arial" w:hAnsi="Arial" w:cs="Arial"/>
          <w:sz w:val="20"/>
          <w:szCs w:val="20"/>
        </w:rPr>
      </w:pPr>
      <w:r w:rsidRPr="008F7486">
        <w:rPr>
          <w:rFonts w:ascii="Arial" w:hAnsi="Arial" w:cs="Arial"/>
          <w:sz w:val="20"/>
          <w:szCs w:val="20"/>
        </w:rPr>
        <w:t>krajša mesečna poročila, kot priloga k izdanim mesečnim računom, v katerih poda opis opravljenega dela in navede morebitne posebne ugotovitve,</w:t>
      </w:r>
    </w:p>
    <w:p w14:paraId="52BB9FDC" w14:textId="77777777" w:rsidR="008F7486" w:rsidRPr="008F7486" w:rsidRDefault="008F7486" w:rsidP="008F7486">
      <w:pPr>
        <w:widowControl w:val="0"/>
        <w:numPr>
          <w:ilvl w:val="0"/>
          <w:numId w:val="21"/>
        </w:numPr>
        <w:spacing w:before="0" w:after="0" w:line="300" w:lineRule="atLeast"/>
        <w:ind w:left="714" w:hanging="357"/>
        <w:contextualSpacing/>
        <w:jc w:val="left"/>
        <w:rPr>
          <w:rFonts w:ascii="Arial" w:hAnsi="Arial" w:cs="Arial"/>
          <w:sz w:val="20"/>
          <w:szCs w:val="20"/>
        </w:rPr>
      </w:pPr>
      <w:r w:rsidRPr="008F7486">
        <w:rPr>
          <w:rFonts w:ascii="Arial" w:hAnsi="Arial" w:cs="Arial"/>
          <w:sz w:val="20"/>
          <w:szCs w:val="20"/>
        </w:rPr>
        <w:t>podrobnejša letna poročila – do konca januarja za preteklo leto,</w:t>
      </w:r>
    </w:p>
    <w:p w14:paraId="02F09F54" w14:textId="77777777" w:rsidR="008F7486" w:rsidRPr="008F7486" w:rsidRDefault="008F7486" w:rsidP="008F7486">
      <w:pPr>
        <w:widowControl w:val="0"/>
        <w:numPr>
          <w:ilvl w:val="0"/>
          <w:numId w:val="21"/>
        </w:numPr>
        <w:spacing w:before="0" w:after="0" w:line="300" w:lineRule="atLeast"/>
        <w:ind w:left="714" w:hanging="357"/>
        <w:contextualSpacing/>
        <w:jc w:val="left"/>
        <w:rPr>
          <w:rFonts w:ascii="Arial" w:hAnsi="Arial" w:cs="Arial"/>
          <w:sz w:val="20"/>
          <w:szCs w:val="20"/>
        </w:rPr>
      </w:pPr>
      <w:r w:rsidRPr="008F7486">
        <w:rPr>
          <w:rFonts w:ascii="Arial" w:hAnsi="Arial" w:cs="Arial"/>
          <w:sz w:val="20"/>
          <w:szCs w:val="20"/>
        </w:rPr>
        <w:t xml:space="preserve">končno poročilo po zaključeni gradnji – 30 dni po zaključku monitoringa oz. zaključenih popisih. </w:t>
      </w:r>
    </w:p>
    <w:p w14:paraId="641D1C46" w14:textId="77777777" w:rsidR="008F7486" w:rsidRPr="008F7486" w:rsidRDefault="008F7486" w:rsidP="008F7486">
      <w:pPr>
        <w:spacing w:before="0" w:after="0" w:line="260" w:lineRule="atLeast"/>
        <w:rPr>
          <w:rFonts w:ascii="Arial" w:hAnsi="Arial" w:cs="Arial"/>
          <w:sz w:val="20"/>
          <w:szCs w:val="20"/>
        </w:rPr>
      </w:pPr>
      <w:r w:rsidRPr="008F7486">
        <w:rPr>
          <w:rFonts w:ascii="Arial" w:hAnsi="Arial" w:cs="Arial"/>
          <w:sz w:val="20"/>
          <w:szCs w:val="20"/>
        </w:rPr>
        <w:t>Izvajalec je dolžan oddajati poročila v pregled naročniku ter po njegovih zahtevah le tega dopolniti oziroma popraviti. Rok za popravke po pripombah naročnika je 7 dni od prejema pripomb.</w:t>
      </w:r>
    </w:p>
    <w:p w14:paraId="4BD2A391" w14:textId="77777777" w:rsidR="008F7486" w:rsidRPr="008F7486" w:rsidRDefault="008F7486" w:rsidP="008F7486">
      <w:pPr>
        <w:spacing w:before="0" w:after="0" w:line="260" w:lineRule="atLeast"/>
        <w:rPr>
          <w:rFonts w:ascii="Arial" w:eastAsia="Times New Roman" w:hAnsi="Arial" w:cs="Arial"/>
          <w:sz w:val="20"/>
          <w:szCs w:val="20"/>
          <w:u w:val="single"/>
        </w:rPr>
      </w:pPr>
    </w:p>
    <w:p w14:paraId="6AD9BF00" w14:textId="77777777" w:rsidR="008F7486" w:rsidRPr="008F7486" w:rsidRDefault="008F7486" w:rsidP="008F7486">
      <w:pPr>
        <w:spacing w:before="0" w:after="0" w:line="260" w:lineRule="atLeast"/>
        <w:rPr>
          <w:rFonts w:ascii="Arial" w:eastAsia="Times New Roman" w:hAnsi="Arial" w:cs="Arial"/>
          <w:sz w:val="20"/>
          <w:szCs w:val="20"/>
          <w:u w:val="single"/>
        </w:rPr>
      </w:pPr>
      <w:r w:rsidRPr="008F7486">
        <w:rPr>
          <w:rFonts w:ascii="Arial" w:eastAsia="Times New Roman" w:hAnsi="Arial" w:cs="Arial"/>
          <w:sz w:val="20"/>
          <w:szCs w:val="20"/>
          <w:u w:val="single"/>
        </w:rPr>
        <w:t>Število izvodov posameznih poročil</w:t>
      </w:r>
    </w:p>
    <w:p w14:paraId="3E814E39" w14:textId="77777777" w:rsidR="008F7486" w:rsidRPr="008F7486" w:rsidRDefault="008F7486" w:rsidP="008F7486">
      <w:pPr>
        <w:widowControl w:val="0"/>
        <w:numPr>
          <w:ilvl w:val="0"/>
          <w:numId w:val="21"/>
        </w:numPr>
        <w:spacing w:before="0" w:after="0" w:line="300" w:lineRule="atLeast"/>
        <w:ind w:left="425" w:hanging="357"/>
        <w:contextualSpacing/>
        <w:jc w:val="left"/>
        <w:rPr>
          <w:rFonts w:ascii="Arial" w:hAnsi="Arial" w:cs="Arial"/>
          <w:sz w:val="20"/>
          <w:szCs w:val="20"/>
        </w:rPr>
      </w:pPr>
      <w:r w:rsidRPr="008F7486">
        <w:rPr>
          <w:rFonts w:ascii="Arial" w:hAnsi="Arial" w:cs="Arial"/>
          <w:sz w:val="20"/>
          <w:szCs w:val="20"/>
        </w:rPr>
        <w:t>Poročila o popisih, mesečna ter letna poročila se oddajo v dveh tiskanih in dveh digitalnih izvodih.</w:t>
      </w:r>
    </w:p>
    <w:p w14:paraId="01A2B7DA" w14:textId="77777777" w:rsidR="008F7486" w:rsidRPr="008F7486" w:rsidRDefault="008F7486" w:rsidP="008F7486">
      <w:pPr>
        <w:widowControl w:val="0"/>
        <w:numPr>
          <w:ilvl w:val="0"/>
          <w:numId w:val="21"/>
        </w:numPr>
        <w:spacing w:before="0" w:after="0" w:line="300" w:lineRule="atLeast"/>
        <w:ind w:left="425" w:hanging="357"/>
        <w:contextualSpacing/>
        <w:jc w:val="left"/>
        <w:rPr>
          <w:rFonts w:ascii="Arial" w:hAnsi="Arial" w:cs="Arial"/>
          <w:sz w:val="20"/>
          <w:szCs w:val="20"/>
        </w:rPr>
      </w:pPr>
      <w:r w:rsidRPr="008F7486">
        <w:rPr>
          <w:rFonts w:ascii="Arial" w:hAnsi="Arial" w:cs="Arial"/>
          <w:sz w:val="20"/>
          <w:szCs w:val="20"/>
        </w:rPr>
        <w:t>Končno skupno poročilo se odda v petih tiskanih in petih digitalnih izvodih.</w:t>
      </w:r>
    </w:p>
    <w:p w14:paraId="5A73E330" w14:textId="77777777" w:rsidR="008F7486" w:rsidRPr="008F7486" w:rsidRDefault="008F7486" w:rsidP="008F7486">
      <w:pPr>
        <w:spacing w:before="0" w:after="0" w:line="260" w:lineRule="atLeast"/>
        <w:rPr>
          <w:rFonts w:ascii="Arial" w:hAnsi="Arial" w:cs="Arial"/>
          <w:sz w:val="20"/>
          <w:szCs w:val="20"/>
        </w:rPr>
      </w:pPr>
    </w:p>
    <w:p w14:paraId="2ADF7CBC" w14:textId="77777777" w:rsidR="008F7486" w:rsidRPr="008F7486" w:rsidRDefault="008F7486" w:rsidP="008F7486">
      <w:pPr>
        <w:spacing w:before="0" w:after="0" w:line="260" w:lineRule="atLeast"/>
        <w:rPr>
          <w:rFonts w:ascii="Arial" w:hAnsi="Arial" w:cs="Arial"/>
          <w:sz w:val="20"/>
          <w:szCs w:val="20"/>
        </w:rPr>
      </w:pPr>
      <w:r w:rsidRPr="008F7486">
        <w:rPr>
          <w:rFonts w:ascii="Arial" w:hAnsi="Arial" w:cs="Arial"/>
          <w:sz w:val="20"/>
          <w:szCs w:val="20"/>
        </w:rPr>
        <w:t>Vsi digitalni izvodi se oddajo v aktivni in pasivni obliki. Digitalni izvodi v pasivni obliki morajo biti enaki tiskanim (žigi, podpisi).</w:t>
      </w:r>
    </w:p>
    <w:p w14:paraId="5AC1047F" w14:textId="77777777" w:rsidR="008F7486" w:rsidRPr="008F7486" w:rsidRDefault="008F7486" w:rsidP="008F7486">
      <w:pPr>
        <w:spacing w:before="0" w:after="0" w:line="260" w:lineRule="atLeast"/>
        <w:rPr>
          <w:rFonts w:ascii="Arial" w:hAnsi="Arial" w:cs="Arial"/>
          <w:sz w:val="20"/>
          <w:szCs w:val="20"/>
        </w:rPr>
      </w:pPr>
    </w:p>
    <w:p w14:paraId="39D671ED" w14:textId="77777777" w:rsidR="008F7486" w:rsidRPr="008F7486" w:rsidRDefault="008F7486" w:rsidP="008F7486">
      <w:pPr>
        <w:tabs>
          <w:tab w:val="left" w:pos="3402"/>
        </w:tabs>
        <w:spacing w:before="0" w:after="0" w:line="240" w:lineRule="auto"/>
        <w:jc w:val="left"/>
        <w:rPr>
          <w:rFonts w:ascii="Arial" w:eastAsia="Times New Roman" w:hAnsi="Arial" w:cs="Arial"/>
          <w:sz w:val="20"/>
          <w:szCs w:val="20"/>
        </w:rPr>
      </w:pPr>
    </w:p>
    <w:p w14:paraId="72DD5940" w14:textId="77777777" w:rsidR="008F7486" w:rsidRPr="008F7486" w:rsidRDefault="008F7486" w:rsidP="008F7486">
      <w:pPr>
        <w:tabs>
          <w:tab w:val="left" w:pos="3402"/>
        </w:tabs>
        <w:spacing w:before="0" w:after="0" w:line="240" w:lineRule="auto"/>
        <w:jc w:val="left"/>
        <w:rPr>
          <w:rFonts w:ascii="Arial" w:eastAsia="Times New Roman" w:hAnsi="Arial" w:cs="Arial"/>
          <w:sz w:val="20"/>
          <w:szCs w:val="20"/>
        </w:rPr>
      </w:pPr>
    </w:p>
    <w:p w14:paraId="30B5E962" w14:textId="77777777" w:rsidR="008F7486" w:rsidRPr="008F7486" w:rsidRDefault="008F7486" w:rsidP="008F7486">
      <w:pPr>
        <w:tabs>
          <w:tab w:val="left" w:pos="3402"/>
        </w:tabs>
        <w:spacing w:before="0" w:after="0" w:line="240" w:lineRule="auto"/>
        <w:jc w:val="left"/>
        <w:rPr>
          <w:rFonts w:ascii="Arial" w:eastAsia="Times New Roman" w:hAnsi="Arial" w:cs="Arial"/>
          <w:sz w:val="20"/>
          <w:szCs w:val="20"/>
        </w:rPr>
      </w:pPr>
    </w:p>
    <w:p w14:paraId="4DC71544" w14:textId="77777777" w:rsidR="008F7486" w:rsidRPr="008F7486" w:rsidRDefault="008F7486" w:rsidP="008F7486">
      <w:pPr>
        <w:spacing w:before="0" w:after="0" w:line="260" w:lineRule="atLeast"/>
        <w:jc w:val="left"/>
        <w:rPr>
          <w:rFonts w:ascii="Arial" w:eastAsia="Times New Roman" w:hAnsi="Arial" w:cs="Arial"/>
          <w:sz w:val="20"/>
          <w:szCs w:val="20"/>
        </w:rPr>
      </w:pPr>
    </w:p>
    <w:p w14:paraId="6987A22D" w14:textId="77777777" w:rsidR="008F7486" w:rsidRPr="008F7486" w:rsidRDefault="008F7486" w:rsidP="008F7486">
      <w:pPr>
        <w:spacing w:before="0" w:after="0" w:line="260" w:lineRule="atLeast"/>
        <w:jc w:val="left"/>
        <w:rPr>
          <w:rFonts w:ascii="Arial" w:eastAsia="Times New Roman" w:hAnsi="Arial" w:cs="Arial"/>
          <w:sz w:val="20"/>
          <w:szCs w:val="20"/>
        </w:rPr>
      </w:pPr>
    </w:p>
    <w:p w14:paraId="539C9669" w14:textId="1F406AA4" w:rsidR="002B3730" w:rsidRDefault="002B3730" w:rsidP="00132C80">
      <w:pPr>
        <w:autoSpaceDE w:val="0"/>
        <w:autoSpaceDN w:val="0"/>
        <w:adjustRightInd w:val="0"/>
        <w:spacing w:after="0" w:line="23" w:lineRule="atLeast"/>
        <w:rPr>
          <w:rFonts w:ascii="Times New Roman" w:hAnsi="Times New Roman" w:cs="Times New Roman"/>
          <w:i/>
        </w:rPr>
      </w:pPr>
    </w:p>
    <w:p w14:paraId="0547DE26" w14:textId="77777777" w:rsidR="005E15E1" w:rsidRDefault="005E15E1" w:rsidP="00132C80">
      <w:pPr>
        <w:autoSpaceDE w:val="0"/>
        <w:autoSpaceDN w:val="0"/>
        <w:adjustRightInd w:val="0"/>
        <w:spacing w:after="0" w:line="23" w:lineRule="atLeast"/>
        <w:rPr>
          <w:rFonts w:ascii="Times New Roman" w:hAnsi="Times New Roman" w:cs="Times New Roman"/>
          <w:i/>
        </w:rPr>
      </w:pPr>
    </w:p>
    <w:p w14:paraId="453AA784" w14:textId="6E9D3385" w:rsidR="002B189B" w:rsidRPr="000F7960" w:rsidRDefault="002B189B" w:rsidP="000F7960">
      <w:pPr>
        <w:jc w:val="center"/>
        <w:rPr>
          <w:rFonts w:asciiTheme="minorHAnsi" w:hAnsiTheme="minorHAnsi" w:cstheme="minorHAnsi"/>
          <w:i/>
          <w:sz w:val="20"/>
          <w:szCs w:val="20"/>
        </w:rPr>
      </w:pPr>
      <w:r w:rsidRPr="000F7960">
        <w:rPr>
          <w:rFonts w:asciiTheme="minorHAnsi" w:hAnsiTheme="minorHAnsi" w:cstheme="minorHAnsi"/>
          <w:i/>
          <w:sz w:val="20"/>
          <w:szCs w:val="20"/>
        </w:rPr>
        <w:t>Za to publikacijo je odgovoren izključno avtor. Evropska unija ne odgovarja za kakršnokoli morebitno uporabo v njej navedenih informacij.</w:t>
      </w:r>
    </w:p>
    <w:sectPr w:rsidR="002B189B" w:rsidRPr="000F7960" w:rsidSect="007D0B41">
      <w:headerReference w:type="even" r:id="rId16"/>
      <w:headerReference w:type="default" r:id="rId17"/>
      <w:footerReference w:type="even" r:id="rId18"/>
      <w:footerReference w:type="default" r:id="rId19"/>
      <w:headerReference w:type="first" r:id="rId20"/>
      <w:footerReference w:type="first" r:id="rId21"/>
      <w:pgSz w:w="11906" w:h="16838" w:code="9"/>
      <w:pgMar w:top="1418" w:right="1418" w:bottom="1418" w:left="1418" w:header="709"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CDFDAD" w14:textId="77777777" w:rsidR="006B4D6C" w:rsidRDefault="006B4D6C" w:rsidP="008B71D4">
      <w:pPr>
        <w:spacing w:line="240" w:lineRule="auto"/>
      </w:pPr>
      <w:r>
        <w:separator/>
      </w:r>
    </w:p>
  </w:endnote>
  <w:endnote w:type="continuationSeparator" w:id="0">
    <w:p w14:paraId="08C46008" w14:textId="77777777" w:rsidR="006B4D6C" w:rsidRDefault="006B4D6C" w:rsidP="008B71D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4610" w14:textId="77777777" w:rsidR="003367A8" w:rsidRDefault="003367A8">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0501934"/>
      <w:docPartObj>
        <w:docPartGallery w:val="Page Numbers (Bottom of Page)"/>
        <w:docPartUnique/>
      </w:docPartObj>
    </w:sdtPr>
    <w:sdtEndPr>
      <w:rPr>
        <w:rFonts w:asciiTheme="minorHAnsi" w:hAnsiTheme="minorHAnsi" w:cs="Tahoma"/>
        <w:sz w:val="20"/>
        <w:szCs w:val="20"/>
      </w:rPr>
    </w:sdtEndPr>
    <w:sdtContent>
      <w:p w14:paraId="3690CDBF" w14:textId="471561CD" w:rsidR="005A4E8B" w:rsidRPr="00EE612F" w:rsidRDefault="005A4E8B">
        <w:pPr>
          <w:pStyle w:val="Noga"/>
          <w:jc w:val="center"/>
          <w:rPr>
            <w:rFonts w:asciiTheme="minorHAnsi" w:hAnsiTheme="minorHAnsi" w:cs="Tahoma"/>
            <w:sz w:val="20"/>
            <w:szCs w:val="20"/>
          </w:rPr>
        </w:pPr>
        <w:r w:rsidRPr="00EE612F">
          <w:rPr>
            <w:rFonts w:asciiTheme="minorHAnsi" w:hAnsiTheme="minorHAnsi" w:cs="Tahoma"/>
            <w:sz w:val="20"/>
            <w:szCs w:val="20"/>
          </w:rPr>
          <w:fldChar w:fldCharType="begin"/>
        </w:r>
        <w:r w:rsidRPr="00EE612F">
          <w:rPr>
            <w:rFonts w:asciiTheme="minorHAnsi" w:hAnsiTheme="minorHAnsi" w:cs="Tahoma"/>
            <w:sz w:val="20"/>
            <w:szCs w:val="20"/>
          </w:rPr>
          <w:instrText>PAGE   \* MERGEFORMAT</w:instrText>
        </w:r>
        <w:r w:rsidRPr="00EE612F">
          <w:rPr>
            <w:rFonts w:asciiTheme="minorHAnsi" w:hAnsiTheme="minorHAnsi" w:cs="Tahoma"/>
            <w:sz w:val="20"/>
            <w:szCs w:val="20"/>
          </w:rPr>
          <w:fldChar w:fldCharType="separate"/>
        </w:r>
        <w:r w:rsidR="00FE74C8">
          <w:rPr>
            <w:rFonts w:asciiTheme="minorHAnsi" w:hAnsiTheme="minorHAnsi" w:cs="Tahoma"/>
            <w:noProof/>
            <w:sz w:val="20"/>
            <w:szCs w:val="20"/>
          </w:rPr>
          <w:t>2</w:t>
        </w:r>
        <w:r w:rsidRPr="00EE612F">
          <w:rPr>
            <w:rFonts w:asciiTheme="minorHAnsi" w:hAnsiTheme="minorHAnsi" w:cs="Tahoma"/>
            <w:sz w:val="20"/>
            <w:szCs w:val="20"/>
          </w:rPr>
          <w:fldChar w:fldCharType="end"/>
        </w:r>
      </w:p>
    </w:sdtContent>
  </w:sdt>
  <w:p w14:paraId="6C31E915" w14:textId="77777777" w:rsidR="008B71D4" w:rsidRPr="005A4E8B" w:rsidRDefault="008B71D4" w:rsidP="005A4E8B">
    <w:pPr>
      <w:pStyle w:val="Noga"/>
    </w:pPr>
  </w:p>
  <w:p w14:paraId="51C7BC85" w14:textId="77777777" w:rsidR="009B4A20" w:rsidRDefault="009B4A2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29F3" w14:textId="77777777" w:rsidR="005D0823" w:rsidRDefault="005D0823" w:rsidP="00FE2533">
    <w:pPr>
      <w:pStyle w:val="Noga"/>
      <w:jc w:val="center"/>
    </w:pPr>
  </w:p>
  <w:p w14:paraId="4AFB364E" w14:textId="3A568EE7" w:rsidR="005A4E8B" w:rsidRDefault="00D96439" w:rsidP="005D0823">
    <w:pPr>
      <w:pStyle w:val="Noga"/>
      <w:jc w:val="center"/>
    </w:pPr>
    <w:r>
      <w:rPr>
        <w:noProof/>
        <w:lang w:eastAsia="sl-SI"/>
      </w:rPr>
      <w:drawing>
        <wp:inline distT="0" distB="0" distL="0" distR="0" wp14:anchorId="25B5139A" wp14:editId="2EBDD310">
          <wp:extent cx="5737225" cy="586740"/>
          <wp:effectExtent l="0" t="0" r="0" b="3810"/>
          <wp:docPr id="7" name="Slika 7"/>
          <wp:cNvGraphicFramePr/>
          <a:graphic xmlns:a="http://schemas.openxmlformats.org/drawingml/2006/main">
            <a:graphicData uri="http://schemas.openxmlformats.org/drawingml/2006/picture">
              <pic:pic xmlns:pic="http://schemas.openxmlformats.org/drawingml/2006/picture">
                <pic:nvPicPr>
                  <pic:cNvPr id="7" name="Slika 7"/>
                  <pic:cNvPicPr/>
                </pic:nvPicPr>
                <pic:blipFill>
                  <a:blip r:embed="rId1">
                    <a:extLst>
                      <a:ext uri="{28A0092B-C50C-407E-A947-70E740481C1C}">
                        <a14:useLocalDpi xmlns:a14="http://schemas.microsoft.com/office/drawing/2010/main" val="0"/>
                      </a:ext>
                    </a:extLst>
                  </a:blip>
                  <a:stretch>
                    <a:fillRect/>
                  </a:stretch>
                </pic:blipFill>
                <pic:spPr>
                  <a:xfrm>
                    <a:off x="0" y="0"/>
                    <a:ext cx="5737225" cy="586740"/>
                  </a:xfrm>
                  <a:prstGeom prst="rect">
                    <a:avLst/>
                  </a:prstGeom>
                </pic:spPr>
              </pic:pic>
            </a:graphicData>
          </a:graphic>
        </wp:inline>
      </w:drawing>
    </w:r>
  </w:p>
  <w:p w14:paraId="225F1ED0" w14:textId="77777777" w:rsidR="005A4E8B" w:rsidRDefault="005A4E8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876969" w14:textId="77777777" w:rsidR="006B4D6C" w:rsidRDefault="006B4D6C" w:rsidP="008B71D4">
      <w:pPr>
        <w:spacing w:line="240" w:lineRule="auto"/>
      </w:pPr>
      <w:r>
        <w:separator/>
      </w:r>
    </w:p>
  </w:footnote>
  <w:footnote w:type="continuationSeparator" w:id="0">
    <w:p w14:paraId="1627401C" w14:textId="77777777" w:rsidR="006B4D6C" w:rsidRDefault="006B4D6C" w:rsidP="008B71D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56F8C" w14:textId="77777777" w:rsidR="003367A8" w:rsidRDefault="003367A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9D5FF" w14:textId="77777777" w:rsidR="00EE612F" w:rsidRDefault="00D462F1" w:rsidP="005D0823">
    <w:pPr>
      <w:pStyle w:val="Glava"/>
      <w:jc w:val="left"/>
    </w:pPr>
    <w:r>
      <w:rPr>
        <w:noProof/>
        <w:lang w:eastAsia="sl-SI"/>
      </w:rPr>
      <w:drawing>
        <wp:inline distT="0" distB="0" distL="0" distR="0" wp14:anchorId="76400321" wp14:editId="10C50D51">
          <wp:extent cx="722376" cy="155448"/>
          <wp:effectExtent l="0" t="0" r="1905"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2_2TD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22376" cy="155448"/>
                  </a:xfrm>
                  <a:prstGeom prst="rect">
                    <a:avLst/>
                  </a:prstGeom>
                </pic:spPr>
              </pic:pic>
            </a:graphicData>
          </a:graphic>
        </wp:inline>
      </w:drawing>
    </w:r>
  </w:p>
  <w:p w14:paraId="594379A4" w14:textId="77777777" w:rsidR="009B4A20" w:rsidRDefault="009B4A2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28174" w14:textId="77777777" w:rsidR="006F3FBE" w:rsidRDefault="006F3FBE" w:rsidP="006F3FBE">
    <w:pPr>
      <w:pStyle w:val="Glava"/>
      <w:jc w:val="left"/>
    </w:pPr>
    <w:r w:rsidRPr="00D1174A">
      <w:rPr>
        <w:rFonts w:eastAsia="Calibri"/>
        <w:b/>
        <w:noProof/>
        <w:sz w:val="20"/>
        <w:szCs w:val="20"/>
        <w:lang w:eastAsia="sl-SI"/>
      </w:rPr>
      <w:drawing>
        <wp:anchor distT="0" distB="0" distL="114300" distR="114300" simplePos="0" relativeHeight="251659264" behindDoc="0" locked="0" layoutInCell="1" allowOverlap="1" wp14:anchorId="7CDD081E" wp14:editId="468D63F4">
          <wp:simplePos x="0" y="0"/>
          <wp:positionH relativeFrom="column">
            <wp:posOffset>3307080</wp:posOffset>
          </wp:positionH>
          <wp:positionV relativeFrom="paragraph">
            <wp:posOffset>38100</wp:posOffset>
          </wp:positionV>
          <wp:extent cx="2811780" cy="494665"/>
          <wp:effectExtent l="0" t="0" r="0" b="0"/>
          <wp:wrapSquare wrapText="bothSides"/>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C:\Users\MilanB\Desktop\CEF 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811780" cy="4946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sl-SI"/>
      </w:rPr>
      <w:drawing>
        <wp:inline distT="0" distB="0" distL="0" distR="0" wp14:anchorId="394067A0" wp14:editId="76D432BF">
          <wp:extent cx="1801368" cy="384048"/>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dp_2TDK.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801368" cy="384048"/>
                  </a:xfrm>
                  <a:prstGeom prst="rect">
                    <a:avLst/>
                  </a:prstGeom>
                </pic:spPr>
              </pic:pic>
            </a:graphicData>
          </a:graphic>
        </wp:inline>
      </w:drawing>
    </w:r>
    <w:r>
      <w:tab/>
    </w:r>
  </w:p>
  <w:p w14:paraId="3929C32F" w14:textId="77777777" w:rsidR="00EE612F" w:rsidRDefault="00EE612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4D74"/>
    <w:multiLevelType w:val="hybridMultilevel"/>
    <w:tmpl w:val="282EC90A"/>
    <w:lvl w:ilvl="0" w:tplc="14BA8924">
      <w:start w:val="1"/>
      <w:numFmt w:val="bullet"/>
      <w:lvlText w:val=""/>
      <w:lvlJc w:val="left"/>
      <w:pPr>
        <w:ind w:left="4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1201E"/>
    <w:multiLevelType w:val="hybridMultilevel"/>
    <w:tmpl w:val="BA48FDBE"/>
    <w:lvl w:ilvl="0" w:tplc="04240015">
      <w:start w:val="1"/>
      <w:numFmt w:val="upperLetter"/>
      <w:lvlText w:val="%1."/>
      <w:lvlJc w:val="left"/>
      <w:pPr>
        <w:ind w:left="644" w:hanging="360"/>
      </w:pPr>
      <w:rPr>
        <w:rFonts w:hint="default"/>
        <w:b/>
        <w:i w:val="0"/>
        <w:sz w:val="22"/>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3963EF7"/>
    <w:multiLevelType w:val="hybridMultilevel"/>
    <w:tmpl w:val="5D84F75C"/>
    <w:lvl w:ilvl="0" w:tplc="59B6247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B7E00BD"/>
    <w:multiLevelType w:val="hybridMultilevel"/>
    <w:tmpl w:val="F7AC1B54"/>
    <w:lvl w:ilvl="0" w:tplc="09F6705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6281E61"/>
    <w:multiLevelType w:val="hybridMultilevel"/>
    <w:tmpl w:val="1B30782C"/>
    <w:lvl w:ilvl="0" w:tplc="6B50360E">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D1F54DB"/>
    <w:multiLevelType w:val="hybridMultilevel"/>
    <w:tmpl w:val="B5C4B55E"/>
    <w:lvl w:ilvl="0" w:tplc="8802296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4A41DC"/>
    <w:multiLevelType w:val="hybridMultilevel"/>
    <w:tmpl w:val="F4D408DA"/>
    <w:lvl w:ilvl="0" w:tplc="5FAE1A3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1B43697"/>
    <w:multiLevelType w:val="hybridMultilevel"/>
    <w:tmpl w:val="9FF040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A0436A"/>
    <w:multiLevelType w:val="hybridMultilevel"/>
    <w:tmpl w:val="4FB4048A"/>
    <w:lvl w:ilvl="0" w:tplc="E7D44BA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8EA5D95"/>
    <w:multiLevelType w:val="hybridMultilevel"/>
    <w:tmpl w:val="1D30FDF6"/>
    <w:lvl w:ilvl="0" w:tplc="0DDAD580">
      <w:start w:val="4"/>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97822D8"/>
    <w:multiLevelType w:val="hybridMultilevel"/>
    <w:tmpl w:val="D36C5962"/>
    <w:lvl w:ilvl="0" w:tplc="8466C4C8">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BB62CA5"/>
    <w:multiLevelType w:val="multilevel"/>
    <w:tmpl w:val="2DF2EE70"/>
    <w:lvl w:ilvl="0">
      <w:start w:val="1"/>
      <w:numFmt w:val="decimal"/>
      <w:lvlText w:val="%1."/>
      <w:lvlJc w:val="left"/>
      <w:pPr>
        <w:tabs>
          <w:tab w:val="num" w:pos="360"/>
        </w:tabs>
        <w:ind w:left="360" w:hanging="360"/>
      </w:pPr>
    </w:lvl>
    <w:lvl w:ilvl="1">
      <w:start w:val="1"/>
      <w:numFmt w:val="decimal"/>
      <w:isLgl/>
      <w:lvlText w:val="%1.%2"/>
      <w:lvlJc w:val="left"/>
      <w:pPr>
        <w:ind w:left="678" w:hanging="360"/>
      </w:pPr>
      <w:rPr>
        <w:rFonts w:hint="default"/>
      </w:rPr>
    </w:lvl>
    <w:lvl w:ilvl="2">
      <w:start w:val="1"/>
      <w:numFmt w:val="decimal"/>
      <w:isLgl/>
      <w:lvlText w:val="%1.%2.%3"/>
      <w:lvlJc w:val="left"/>
      <w:pPr>
        <w:ind w:left="1356" w:hanging="720"/>
      </w:pPr>
      <w:rPr>
        <w:rFonts w:hint="default"/>
      </w:rPr>
    </w:lvl>
    <w:lvl w:ilvl="3">
      <w:start w:val="1"/>
      <w:numFmt w:val="decimal"/>
      <w:isLgl/>
      <w:lvlText w:val="%1.%2.%3.%4"/>
      <w:lvlJc w:val="left"/>
      <w:pPr>
        <w:ind w:left="1674" w:hanging="720"/>
      </w:pPr>
      <w:rPr>
        <w:rFonts w:hint="default"/>
      </w:rPr>
    </w:lvl>
    <w:lvl w:ilvl="4">
      <w:start w:val="1"/>
      <w:numFmt w:val="decimal"/>
      <w:isLgl/>
      <w:lvlText w:val="%1.%2.%3.%4.%5"/>
      <w:lvlJc w:val="left"/>
      <w:pPr>
        <w:ind w:left="2352" w:hanging="1080"/>
      </w:pPr>
      <w:rPr>
        <w:rFonts w:hint="default"/>
      </w:rPr>
    </w:lvl>
    <w:lvl w:ilvl="5">
      <w:start w:val="1"/>
      <w:numFmt w:val="decimal"/>
      <w:isLgl/>
      <w:lvlText w:val="%1.%2.%3.%4.%5.%6"/>
      <w:lvlJc w:val="left"/>
      <w:pPr>
        <w:ind w:left="2670" w:hanging="1080"/>
      </w:pPr>
      <w:rPr>
        <w:rFonts w:hint="default"/>
      </w:rPr>
    </w:lvl>
    <w:lvl w:ilvl="6">
      <w:start w:val="1"/>
      <w:numFmt w:val="decimal"/>
      <w:isLgl/>
      <w:lvlText w:val="%1.%2.%3.%4.%5.%6.%7"/>
      <w:lvlJc w:val="left"/>
      <w:pPr>
        <w:ind w:left="3348" w:hanging="1440"/>
      </w:pPr>
      <w:rPr>
        <w:rFonts w:hint="default"/>
      </w:rPr>
    </w:lvl>
    <w:lvl w:ilvl="7">
      <w:start w:val="1"/>
      <w:numFmt w:val="decimal"/>
      <w:isLgl/>
      <w:lvlText w:val="%1.%2.%3.%4.%5.%6.%7.%8"/>
      <w:lvlJc w:val="left"/>
      <w:pPr>
        <w:ind w:left="3666" w:hanging="1440"/>
      </w:pPr>
      <w:rPr>
        <w:rFonts w:hint="default"/>
      </w:rPr>
    </w:lvl>
    <w:lvl w:ilvl="8">
      <w:start w:val="1"/>
      <w:numFmt w:val="decimal"/>
      <w:isLgl/>
      <w:lvlText w:val="%1.%2.%3.%4.%5.%6.%7.%8.%9"/>
      <w:lvlJc w:val="left"/>
      <w:pPr>
        <w:ind w:left="4344" w:hanging="1800"/>
      </w:pPr>
      <w:rPr>
        <w:rFonts w:hint="default"/>
      </w:rPr>
    </w:lvl>
  </w:abstractNum>
  <w:abstractNum w:abstractNumId="12" w15:restartNumberingAfterBreak="0">
    <w:nsid w:val="2DA260CF"/>
    <w:multiLevelType w:val="hybridMultilevel"/>
    <w:tmpl w:val="1512AFD2"/>
    <w:lvl w:ilvl="0" w:tplc="763C5C44">
      <w:start w:val="1"/>
      <w:numFmt w:val="decimal"/>
      <w:lvlText w:val="%1."/>
      <w:lvlJc w:val="left"/>
      <w:pPr>
        <w:ind w:left="678" w:hanging="360"/>
      </w:pPr>
      <w:rPr>
        <w:rFonts w:hint="default"/>
        <w:i/>
      </w:rPr>
    </w:lvl>
    <w:lvl w:ilvl="1" w:tplc="04240019" w:tentative="1">
      <w:start w:val="1"/>
      <w:numFmt w:val="lowerLetter"/>
      <w:lvlText w:val="%2."/>
      <w:lvlJc w:val="left"/>
      <w:pPr>
        <w:ind w:left="1398" w:hanging="360"/>
      </w:pPr>
    </w:lvl>
    <w:lvl w:ilvl="2" w:tplc="0424001B" w:tentative="1">
      <w:start w:val="1"/>
      <w:numFmt w:val="lowerRoman"/>
      <w:lvlText w:val="%3."/>
      <w:lvlJc w:val="right"/>
      <w:pPr>
        <w:ind w:left="2118" w:hanging="180"/>
      </w:pPr>
    </w:lvl>
    <w:lvl w:ilvl="3" w:tplc="0424000F" w:tentative="1">
      <w:start w:val="1"/>
      <w:numFmt w:val="decimal"/>
      <w:lvlText w:val="%4."/>
      <w:lvlJc w:val="left"/>
      <w:pPr>
        <w:ind w:left="2838" w:hanging="360"/>
      </w:pPr>
    </w:lvl>
    <w:lvl w:ilvl="4" w:tplc="04240019" w:tentative="1">
      <w:start w:val="1"/>
      <w:numFmt w:val="lowerLetter"/>
      <w:lvlText w:val="%5."/>
      <w:lvlJc w:val="left"/>
      <w:pPr>
        <w:ind w:left="3558" w:hanging="360"/>
      </w:pPr>
    </w:lvl>
    <w:lvl w:ilvl="5" w:tplc="0424001B" w:tentative="1">
      <w:start w:val="1"/>
      <w:numFmt w:val="lowerRoman"/>
      <w:lvlText w:val="%6."/>
      <w:lvlJc w:val="right"/>
      <w:pPr>
        <w:ind w:left="4278" w:hanging="180"/>
      </w:pPr>
    </w:lvl>
    <w:lvl w:ilvl="6" w:tplc="0424000F" w:tentative="1">
      <w:start w:val="1"/>
      <w:numFmt w:val="decimal"/>
      <w:lvlText w:val="%7."/>
      <w:lvlJc w:val="left"/>
      <w:pPr>
        <w:ind w:left="4998" w:hanging="360"/>
      </w:pPr>
    </w:lvl>
    <w:lvl w:ilvl="7" w:tplc="04240019" w:tentative="1">
      <w:start w:val="1"/>
      <w:numFmt w:val="lowerLetter"/>
      <w:lvlText w:val="%8."/>
      <w:lvlJc w:val="left"/>
      <w:pPr>
        <w:ind w:left="5718" w:hanging="360"/>
      </w:pPr>
    </w:lvl>
    <w:lvl w:ilvl="8" w:tplc="0424001B" w:tentative="1">
      <w:start w:val="1"/>
      <w:numFmt w:val="lowerRoman"/>
      <w:lvlText w:val="%9."/>
      <w:lvlJc w:val="right"/>
      <w:pPr>
        <w:ind w:left="6438" w:hanging="180"/>
      </w:pPr>
    </w:lvl>
  </w:abstractNum>
  <w:abstractNum w:abstractNumId="13" w15:restartNumberingAfterBreak="0">
    <w:nsid w:val="3FF8597E"/>
    <w:multiLevelType w:val="hybridMultilevel"/>
    <w:tmpl w:val="7F4CF922"/>
    <w:lvl w:ilvl="0" w:tplc="5FAE1A34">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8912CFC"/>
    <w:multiLevelType w:val="hybridMultilevel"/>
    <w:tmpl w:val="19A0971E"/>
    <w:lvl w:ilvl="0" w:tplc="0CC8BBD2">
      <w:start w:val="1"/>
      <w:numFmt w:val="bullet"/>
      <w:lvlText w:val="–"/>
      <w:lvlJc w:val="left"/>
      <w:pPr>
        <w:ind w:left="786" w:hanging="360"/>
      </w:pPr>
      <w:rPr>
        <w:rFonts w:ascii="Tahoma" w:eastAsiaTheme="minorHAnsi" w:hAnsi="Tahoma" w:cs="Tahoma"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5" w15:restartNumberingAfterBreak="0">
    <w:nsid w:val="4C29092B"/>
    <w:multiLevelType w:val="hybridMultilevel"/>
    <w:tmpl w:val="CAC8D41A"/>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5F6B654A"/>
    <w:multiLevelType w:val="hybridMultilevel"/>
    <w:tmpl w:val="B10000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0FA2777"/>
    <w:multiLevelType w:val="hybridMultilevel"/>
    <w:tmpl w:val="43CA2A22"/>
    <w:lvl w:ilvl="0" w:tplc="AE7A2844">
      <w:numFmt w:val="bullet"/>
      <w:lvlText w:val="-"/>
      <w:lvlJc w:val="left"/>
      <w:pPr>
        <w:ind w:left="709" w:hanging="360"/>
      </w:pPr>
      <w:rPr>
        <w:rFonts w:ascii="Tahoma" w:eastAsiaTheme="minorHAnsi" w:hAnsi="Tahoma" w:cs="Tahoma" w:hint="default"/>
      </w:rPr>
    </w:lvl>
    <w:lvl w:ilvl="1" w:tplc="04240003" w:tentative="1">
      <w:start w:val="1"/>
      <w:numFmt w:val="bullet"/>
      <w:lvlText w:val="o"/>
      <w:lvlJc w:val="left"/>
      <w:pPr>
        <w:ind w:left="1429" w:hanging="360"/>
      </w:pPr>
      <w:rPr>
        <w:rFonts w:ascii="Courier New" w:hAnsi="Courier New" w:cs="Courier New" w:hint="default"/>
      </w:rPr>
    </w:lvl>
    <w:lvl w:ilvl="2" w:tplc="04240005" w:tentative="1">
      <w:start w:val="1"/>
      <w:numFmt w:val="bullet"/>
      <w:lvlText w:val=""/>
      <w:lvlJc w:val="left"/>
      <w:pPr>
        <w:ind w:left="2149" w:hanging="360"/>
      </w:pPr>
      <w:rPr>
        <w:rFonts w:ascii="Wingdings" w:hAnsi="Wingdings" w:hint="default"/>
      </w:rPr>
    </w:lvl>
    <w:lvl w:ilvl="3" w:tplc="04240001" w:tentative="1">
      <w:start w:val="1"/>
      <w:numFmt w:val="bullet"/>
      <w:lvlText w:val=""/>
      <w:lvlJc w:val="left"/>
      <w:pPr>
        <w:ind w:left="2869" w:hanging="360"/>
      </w:pPr>
      <w:rPr>
        <w:rFonts w:ascii="Symbol" w:hAnsi="Symbol" w:hint="default"/>
      </w:rPr>
    </w:lvl>
    <w:lvl w:ilvl="4" w:tplc="04240003" w:tentative="1">
      <w:start w:val="1"/>
      <w:numFmt w:val="bullet"/>
      <w:lvlText w:val="o"/>
      <w:lvlJc w:val="left"/>
      <w:pPr>
        <w:ind w:left="3589" w:hanging="360"/>
      </w:pPr>
      <w:rPr>
        <w:rFonts w:ascii="Courier New" w:hAnsi="Courier New" w:cs="Courier New" w:hint="default"/>
      </w:rPr>
    </w:lvl>
    <w:lvl w:ilvl="5" w:tplc="04240005" w:tentative="1">
      <w:start w:val="1"/>
      <w:numFmt w:val="bullet"/>
      <w:lvlText w:val=""/>
      <w:lvlJc w:val="left"/>
      <w:pPr>
        <w:ind w:left="4309" w:hanging="360"/>
      </w:pPr>
      <w:rPr>
        <w:rFonts w:ascii="Wingdings" w:hAnsi="Wingdings" w:hint="default"/>
      </w:rPr>
    </w:lvl>
    <w:lvl w:ilvl="6" w:tplc="04240001" w:tentative="1">
      <w:start w:val="1"/>
      <w:numFmt w:val="bullet"/>
      <w:lvlText w:val=""/>
      <w:lvlJc w:val="left"/>
      <w:pPr>
        <w:ind w:left="5029" w:hanging="360"/>
      </w:pPr>
      <w:rPr>
        <w:rFonts w:ascii="Symbol" w:hAnsi="Symbol" w:hint="default"/>
      </w:rPr>
    </w:lvl>
    <w:lvl w:ilvl="7" w:tplc="04240003" w:tentative="1">
      <w:start w:val="1"/>
      <w:numFmt w:val="bullet"/>
      <w:lvlText w:val="o"/>
      <w:lvlJc w:val="left"/>
      <w:pPr>
        <w:ind w:left="5749" w:hanging="360"/>
      </w:pPr>
      <w:rPr>
        <w:rFonts w:ascii="Courier New" w:hAnsi="Courier New" w:cs="Courier New" w:hint="default"/>
      </w:rPr>
    </w:lvl>
    <w:lvl w:ilvl="8" w:tplc="04240005" w:tentative="1">
      <w:start w:val="1"/>
      <w:numFmt w:val="bullet"/>
      <w:lvlText w:val=""/>
      <w:lvlJc w:val="left"/>
      <w:pPr>
        <w:ind w:left="6469" w:hanging="360"/>
      </w:pPr>
      <w:rPr>
        <w:rFonts w:ascii="Wingdings" w:hAnsi="Wingdings" w:hint="default"/>
      </w:rPr>
    </w:lvl>
  </w:abstractNum>
  <w:abstractNum w:abstractNumId="18" w15:restartNumberingAfterBreak="0">
    <w:nsid w:val="62B04338"/>
    <w:multiLevelType w:val="hybridMultilevel"/>
    <w:tmpl w:val="BD94513E"/>
    <w:lvl w:ilvl="0" w:tplc="BED22CAA">
      <w:start w:val="3"/>
      <w:numFmt w:val="bullet"/>
      <w:lvlText w:val="-"/>
      <w:lvlJc w:val="left"/>
      <w:pPr>
        <w:ind w:left="2160" w:hanging="360"/>
      </w:pPr>
      <w:rPr>
        <w:rFonts w:ascii="Arial" w:eastAsiaTheme="minorHAnsi" w:hAnsi="Arial" w:cs="Aria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19" w15:restartNumberingAfterBreak="0">
    <w:nsid w:val="73CA4E84"/>
    <w:multiLevelType w:val="hybridMultilevel"/>
    <w:tmpl w:val="487C3FD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74786FF3"/>
    <w:multiLevelType w:val="hybridMultilevel"/>
    <w:tmpl w:val="00506DC2"/>
    <w:lvl w:ilvl="0" w:tplc="DEDE8BB6">
      <w:start w:val="2"/>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4B04F86"/>
    <w:multiLevelType w:val="hybridMultilevel"/>
    <w:tmpl w:val="EA5EAF42"/>
    <w:lvl w:ilvl="0" w:tplc="C036517E">
      <w:start w:val="1"/>
      <w:numFmt w:val="decimal"/>
      <w:lvlText w:val="%1."/>
      <w:lvlJc w:val="left"/>
      <w:pPr>
        <w:ind w:left="720" w:hanging="360"/>
      </w:pPr>
      <w:rPr>
        <w:rFonts w:ascii="Calibri" w:hAnsi="Calibri" w:hint="default"/>
        <w:b/>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79C24E8C"/>
    <w:multiLevelType w:val="hybridMultilevel"/>
    <w:tmpl w:val="20F811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9"/>
  </w:num>
  <w:num w:numId="2">
    <w:abstractNumId w:val="13"/>
  </w:num>
  <w:num w:numId="3">
    <w:abstractNumId w:val="6"/>
  </w:num>
  <w:num w:numId="4">
    <w:abstractNumId w:val="10"/>
  </w:num>
  <w:num w:numId="5">
    <w:abstractNumId w:val="2"/>
  </w:num>
  <w:num w:numId="6">
    <w:abstractNumId w:val="23"/>
  </w:num>
  <w:num w:numId="7">
    <w:abstractNumId w:val="17"/>
  </w:num>
  <w:num w:numId="8">
    <w:abstractNumId w:val="8"/>
  </w:num>
  <w:num w:numId="9">
    <w:abstractNumId w:val="16"/>
  </w:num>
  <w:num w:numId="10">
    <w:abstractNumId w:val="14"/>
  </w:num>
  <w:num w:numId="11">
    <w:abstractNumId w:val="9"/>
  </w:num>
  <w:num w:numId="12">
    <w:abstractNumId w:val="15"/>
  </w:num>
  <w:num w:numId="13">
    <w:abstractNumId w:val="11"/>
  </w:num>
  <w:num w:numId="14">
    <w:abstractNumId w:val="5"/>
  </w:num>
  <w:num w:numId="15">
    <w:abstractNumId w:val="1"/>
  </w:num>
  <w:num w:numId="16">
    <w:abstractNumId w:val="18"/>
  </w:num>
  <w:num w:numId="17">
    <w:abstractNumId w:val="12"/>
  </w:num>
  <w:num w:numId="18">
    <w:abstractNumId w:val="7"/>
  </w:num>
  <w:num w:numId="19">
    <w:abstractNumId w:val="4"/>
  </w:num>
  <w:num w:numId="20">
    <w:abstractNumId w:val="21"/>
  </w:num>
  <w:num w:numId="21">
    <w:abstractNumId w:val="20"/>
  </w:num>
  <w:num w:numId="22">
    <w:abstractNumId w:val="3"/>
  </w:num>
  <w:num w:numId="23">
    <w:abstractNumId w:val="0"/>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3566"/>
    <w:rsid w:val="00000692"/>
    <w:rsid w:val="000008D9"/>
    <w:rsid w:val="00012636"/>
    <w:rsid w:val="00055BDA"/>
    <w:rsid w:val="000602C1"/>
    <w:rsid w:val="00065041"/>
    <w:rsid w:val="00077165"/>
    <w:rsid w:val="000832A0"/>
    <w:rsid w:val="000A51E0"/>
    <w:rsid w:val="000E79B7"/>
    <w:rsid w:val="000F3BAB"/>
    <w:rsid w:val="000F7960"/>
    <w:rsid w:val="001153E0"/>
    <w:rsid w:val="00122D8F"/>
    <w:rsid w:val="001324F9"/>
    <w:rsid w:val="00132C80"/>
    <w:rsid w:val="00136948"/>
    <w:rsid w:val="00150F06"/>
    <w:rsid w:val="001625DF"/>
    <w:rsid w:val="00171C4C"/>
    <w:rsid w:val="001916E7"/>
    <w:rsid w:val="001B2328"/>
    <w:rsid w:val="001B595A"/>
    <w:rsid w:val="001B6F90"/>
    <w:rsid w:val="001C17F2"/>
    <w:rsid w:val="001C7B8B"/>
    <w:rsid w:val="001E06AE"/>
    <w:rsid w:val="001E6305"/>
    <w:rsid w:val="001F2A8F"/>
    <w:rsid w:val="001F2E97"/>
    <w:rsid w:val="001F62F4"/>
    <w:rsid w:val="00206425"/>
    <w:rsid w:val="002133A3"/>
    <w:rsid w:val="00223CA3"/>
    <w:rsid w:val="002339F1"/>
    <w:rsid w:val="00237CDA"/>
    <w:rsid w:val="00240A04"/>
    <w:rsid w:val="002434C3"/>
    <w:rsid w:val="002441C9"/>
    <w:rsid w:val="00246603"/>
    <w:rsid w:val="00251E93"/>
    <w:rsid w:val="00257163"/>
    <w:rsid w:val="002603DC"/>
    <w:rsid w:val="00270B46"/>
    <w:rsid w:val="00271AD6"/>
    <w:rsid w:val="00276EF9"/>
    <w:rsid w:val="00295701"/>
    <w:rsid w:val="002A2A2B"/>
    <w:rsid w:val="002A4111"/>
    <w:rsid w:val="002B189B"/>
    <w:rsid w:val="002B3730"/>
    <w:rsid w:val="002B49DA"/>
    <w:rsid w:val="002C1D68"/>
    <w:rsid w:val="002C311F"/>
    <w:rsid w:val="002E40B3"/>
    <w:rsid w:val="00301B17"/>
    <w:rsid w:val="00313C1F"/>
    <w:rsid w:val="00321ADD"/>
    <w:rsid w:val="0032256D"/>
    <w:rsid w:val="00322F6F"/>
    <w:rsid w:val="003240BC"/>
    <w:rsid w:val="003367A8"/>
    <w:rsid w:val="00347E43"/>
    <w:rsid w:val="00386287"/>
    <w:rsid w:val="00393BD1"/>
    <w:rsid w:val="00394B04"/>
    <w:rsid w:val="003951A5"/>
    <w:rsid w:val="003B1F76"/>
    <w:rsid w:val="003D0160"/>
    <w:rsid w:val="003D6198"/>
    <w:rsid w:val="003E5ACB"/>
    <w:rsid w:val="003F3571"/>
    <w:rsid w:val="004067B0"/>
    <w:rsid w:val="00410773"/>
    <w:rsid w:val="0043611D"/>
    <w:rsid w:val="00451F07"/>
    <w:rsid w:val="00483B84"/>
    <w:rsid w:val="00487CC6"/>
    <w:rsid w:val="004940C0"/>
    <w:rsid w:val="004A2AC0"/>
    <w:rsid w:val="004A4CAF"/>
    <w:rsid w:val="004B41D3"/>
    <w:rsid w:val="004C3D0C"/>
    <w:rsid w:val="004D2EDF"/>
    <w:rsid w:val="004D49CA"/>
    <w:rsid w:val="004D5384"/>
    <w:rsid w:val="004F1CA8"/>
    <w:rsid w:val="005049D3"/>
    <w:rsid w:val="005452C5"/>
    <w:rsid w:val="0055031F"/>
    <w:rsid w:val="005547FD"/>
    <w:rsid w:val="0055796F"/>
    <w:rsid w:val="00584CD8"/>
    <w:rsid w:val="00585B48"/>
    <w:rsid w:val="00593FCA"/>
    <w:rsid w:val="005A4E8B"/>
    <w:rsid w:val="005B2BD5"/>
    <w:rsid w:val="005B2E67"/>
    <w:rsid w:val="005D0029"/>
    <w:rsid w:val="005D0823"/>
    <w:rsid w:val="005E15E1"/>
    <w:rsid w:val="005E5106"/>
    <w:rsid w:val="005F4EA0"/>
    <w:rsid w:val="0060705A"/>
    <w:rsid w:val="00610F85"/>
    <w:rsid w:val="00616F03"/>
    <w:rsid w:val="00623C10"/>
    <w:rsid w:val="00624EDD"/>
    <w:rsid w:val="00631B03"/>
    <w:rsid w:val="00636D36"/>
    <w:rsid w:val="00641180"/>
    <w:rsid w:val="00641A44"/>
    <w:rsid w:val="00651525"/>
    <w:rsid w:val="00660A24"/>
    <w:rsid w:val="006646A8"/>
    <w:rsid w:val="00666055"/>
    <w:rsid w:val="00666586"/>
    <w:rsid w:val="00667071"/>
    <w:rsid w:val="006704D4"/>
    <w:rsid w:val="00680294"/>
    <w:rsid w:val="006826AE"/>
    <w:rsid w:val="00685326"/>
    <w:rsid w:val="006A384A"/>
    <w:rsid w:val="006A46EF"/>
    <w:rsid w:val="006A6E4E"/>
    <w:rsid w:val="006B4D6C"/>
    <w:rsid w:val="006B605A"/>
    <w:rsid w:val="006C7DA5"/>
    <w:rsid w:val="006F3FBE"/>
    <w:rsid w:val="006F5E8D"/>
    <w:rsid w:val="00707DE4"/>
    <w:rsid w:val="0071228F"/>
    <w:rsid w:val="00724C3D"/>
    <w:rsid w:val="00733051"/>
    <w:rsid w:val="007446AE"/>
    <w:rsid w:val="007532B2"/>
    <w:rsid w:val="00762E7D"/>
    <w:rsid w:val="00763E83"/>
    <w:rsid w:val="00764E45"/>
    <w:rsid w:val="007779F9"/>
    <w:rsid w:val="00784D2D"/>
    <w:rsid w:val="007A637F"/>
    <w:rsid w:val="007A7E1B"/>
    <w:rsid w:val="007B35B6"/>
    <w:rsid w:val="007D0B41"/>
    <w:rsid w:val="007F22DB"/>
    <w:rsid w:val="00807A1A"/>
    <w:rsid w:val="00813D8C"/>
    <w:rsid w:val="0081513F"/>
    <w:rsid w:val="00833EB2"/>
    <w:rsid w:val="008574EC"/>
    <w:rsid w:val="00857E5C"/>
    <w:rsid w:val="00870182"/>
    <w:rsid w:val="0088169C"/>
    <w:rsid w:val="008A4E8C"/>
    <w:rsid w:val="008B71D4"/>
    <w:rsid w:val="008C5CD1"/>
    <w:rsid w:val="008D0202"/>
    <w:rsid w:val="008D0C50"/>
    <w:rsid w:val="008D4789"/>
    <w:rsid w:val="008F4CA0"/>
    <w:rsid w:val="008F58E7"/>
    <w:rsid w:val="008F7486"/>
    <w:rsid w:val="00911B7A"/>
    <w:rsid w:val="009174B2"/>
    <w:rsid w:val="009203F0"/>
    <w:rsid w:val="009271E4"/>
    <w:rsid w:val="00936F72"/>
    <w:rsid w:val="00942E83"/>
    <w:rsid w:val="00945F93"/>
    <w:rsid w:val="00963433"/>
    <w:rsid w:val="00974A99"/>
    <w:rsid w:val="009920E4"/>
    <w:rsid w:val="009928A0"/>
    <w:rsid w:val="00997F52"/>
    <w:rsid w:val="009B0F53"/>
    <w:rsid w:val="009B4A20"/>
    <w:rsid w:val="009C6AA4"/>
    <w:rsid w:val="009D0752"/>
    <w:rsid w:val="009D2BC3"/>
    <w:rsid w:val="009D316C"/>
    <w:rsid w:val="009F2BF2"/>
    <w:rsid w:val="009F4693"/>
    <w:rsid w:val="00A00864"/>
    <w:rsid w:val="00A07DDC"/>
    <w:rsid w:val="00A13EC5"/>
    <w:rsid w:val="00A16C9D"/>
    <w:rsid w:val="00A22E16"/>
    <w:rsid w:val="00A24507"/>
    <w:rsid w:val="00A35CA3"/>
    <w:rsid w:val="00A35FBA"/>
    <w:rsid w:val="00A57747"/>
    <w:rsid w:val="00A719CD"/>
    <w:rsid w:val="00A91F2B"/>
    <w:rsid w:val="00A95BC9"/>
    <w:rsid w:val="00A971CB"/>
    <w:rsid w:val="00AD5AC8"/>
    <w:rsid w:val="00AE085B"/>
    <w:rsid w:val="00AE32FC"/>
    <w:rsid w:val="00AE3D04"/>
    <w:rsid w:val="00AE4737"/>
    <w:rsid w:val="00AF7A6E"/>
    <w:rsid w:val="00B227AB"/>
    <w:rsid w:val="00B33C4F"/>
    <w:rsid w:val="00B417C6"/>
    <w:rsid w:val="00B41B74"/>
    <w:rsid w:val="00B56D65"/>
    <w:rsid w:val="00B67DAF"/>
    <w:rsid w:val="00B70BA1"/>
    <w:rsid w:val="00B71611"/>
    <w:rsid w:val="00B720BE"/>
    <w:rsid w:val="00B83927"/>
    <w:rsid w:val="00B87B25"/>
    <w:rsid w:val="00B9139E"/>
    <w:rsid w:val="00B949D5"/>
    <w:rsid w:val="00BF1D06"/>
    <w:rsid w:val="00BF325D"/>
    <w:rsid w:val="00C010FB"/>
    <w:rsid w:val="00C05698"/>
    <w:rsid w:val="00C12A20"/>
    <w:rsid w:val="00C16745"/>
    <w:rsid w:val="00C20927"/>
    <w:rsid w:val="00C23130"/>
    <w:rsid w:val="00C54458"/>
    <w:rsid w:val="00C63344"/>
    <w:rsid w:val="00C86DCE"/>
    <w:rsid w:val="00C8761E"/>
    <w:rsid w:val="00C92776"/>
    <w:rsid w:val="00CA1D50"/>
    <w:rsid w:val="00CA4149"/>
    <w:rsid w:val="00CB09DD"/>
    <w:rsid w:val="00CB6782"/>
    <w:rsid w:val="00CC09EA"/>
    <w:rsid w:val="00CC520A"/>
    <w:rsid w:val="00CD1693"/>
    <w:rsid w:val="00CE5797"/>
    <w:rsid w:val="00CF07BC"/>
    <w:rsid w:val="00D010AB"/>
    <w:rsid w:val="00D03B2C"/>
    <w:rsid w:val="00D142D5"/>
    <w:rsid w:val="00D14652"/>
    <w:rsid w:val="00D31409"/>
    <w:rsid w:val="00D462F1"/>
    <w:rsid w:val="00D564E4"/>
    <w:rsid w:val="00D63557"/>
    <w:rsid w:val="00D64746"/>
    <w:rsid w:val="00D711CC"/>
    <w:rsid w:val="00D72549"/>
    <w:rsid w:val="00D75F90"/>
    <w:rsid w:val="00D83566"/>
    <w:rsid w:val="00D96439"/>
    <w:rsid w:val="00DE590E"/>
    <w:rsid w:val="00DE7B8F"/>
    <w:rsid w:val="00DF63D9"/>
    <w:rsid w:val="00E04109"/>
    <w:rsid w:val="00E1297F"/>
    <w:rsid w:val="00E17A84"/>
    <w:rsid w:val="00E34858"/>
    <w:rsid w:val="00E41E13"/>
    <w:rsid w:val="00E93C74"/>
    <w:rsid w:val="00E93EAC"/>
    <w:rsid w:val="00E958E8"/>
    <w:rsid w:val="00EC0B71"/>
    <w:rsid w:val="00EC136B"/>
    <w:rsid w:val="00EE4472"/>
    <w:rsid w:val="00EE5A0C"/>
    <w:rsid w:val="00EE612F"/>
    <w:rsid w:val="00F00898"/>
    <w:rsid w:val="00F11762"/>
    <w:rsid w:val="00F265C4"/>
    <w:rsid w:val="00F42CD7"/>
    <w:rsid w:val="00F43092"/>
    <w:rsid w:val="00F45061"/>
    <w:rsid w:val="00F83D24"/>
    <w:rsid w:val="00F87FC3"/>
    <w:rsid w:val="00FB0BF7"/>
    <w:rsid w:val="00FB2D6B"/>
    <w:rsid w:val="00FC2037"/>
    <w:rsid w:val="00FD22D1"/>
    <w:rsid w:val="00FD6BBE"/>
    <w:rsid w:val="00FE072C"/>
    <w:rsid w:val="00FE2533"/>
    <w:rsid w:val="00FE628F"/>
    <w:rsid w:val="00FE74C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17B7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heme="minorBidi"/>
        <w:sz w:val="22"/>
        <w:szCs w:val="22"/>
        <w:lang w:val="sl-SI" w:eastAsia="en-US" w:bidi="ar-SA"/>
      </w:rPr>
    </w:rPrDefault>
    <w:pPrDefault>
      <w:pPr>
        <w:spacing w:line="300" w:lineRule="atLeas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B6F90"/>
    <w:pPr>
      <w:spacing w:before="120" w:after="120" w:line="276" w:lineRule="auto"/>
    </w:pPr>
    <w:rPr>
      <w:rFonts w:ascii="Calibri" w:hAnsi="Calibri"/>
    </w:rPr>
  </w:style>
  <w:style w:type="paragraph" w:styleId="Naslov5">
    <w:name w:val="heading 5"/>
    <w:basedOn w:val="Navaden"/>
    <w:next w:val="Navaden"/>
    <w:link w:val="Naslov5Znak"/>
    <w:uiPriority w:val="9"/>
    <w:semiHidden/>
    <w:unhideWhenUsed/>
    <w:qFormat/>
    <w:rsid w:val="008574EC"/>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8B71D4"/>
    <w:pPr>
      <w:tabs>
        <w:tab w:val="center" w:pos="4536"/>
        <w:tab w:val="right" w:pos="9072"/>
      </w:tabs>
      <w:spacing w:line="240" w:lineRule="auto"/>
    </w:pPr>
  </w:style>
  <w:style w:type="character" w:customStyle="1" w:styleId="GlavaZnak">
    <w:name w:val="Glava Znak"/>
    <w:basedOn w:val="Privzetapisavaodstavka"/>
    <w:link w:val="Glava"/>
    <w:uiPriority w:val="99"/>
    <w:rsid w:val="008B71D4"/>
  </w:style>
  <w:style w:type="paragraph" w:styleId="Noga">
    <w:name w:val="footer"/>
    <w:basedOn w:val="Navaden"/>
    <w:link w:val="NogaZnak"/>
    <w:uiPriority w:val="99"/>
    <w:unhideWhenUsed/>
    <w:rsid w:val="008B71D4"/>
    <w:pPr>
      <w:tabs>
        <w:tab w:val="center" w:pos="4536"/>
        <w:tab w:val="right" w:pos="9072"/>
      </w:tabs>
      <w:spacing w:line="240" w:lineRule="auto"/>
    </w:pPr>
  </w:style>
  <w:style w:type="character" w:customStyle="1" w:styleId="NogaZnak">
    <w:name w:val="Noga Znak"/>
    <w:basedOn w:val="Privzetapisavaodstavka"/>
    <w:link w:val="Noga"/>
    <w:uiPriority w:val="99"/>
    <w:rsid w:val="008B71D4"/>
  </w:style>
  <w:style w:type="paragraph" w:styleId="Besedilooblaka">
    <w:name w:val="Balloon Text"/>
    <w:basedOn w:val="Navaden"/>
    <w:link w:val="BesedilooblakaZnak"/>
    <w:uiPriority w:val="99"/>
    <w:semiHidden/>
    <w:unhideWhenUsed/>
    <w:rsid w:val="008B71D4"/>
    <w:pPr>
      <w:spacing w:line="240" w:lineRule="auto"/>
    </w:pPr>
    <w:rPr>
      <w:rFonts w:cs="Tahoma"/>
      <w:sz w:val="16"/>
      <w:szCs w:val="16"/>
    </w:rPr>
  </w:style>
  <w:style w:type="character" w:customStyle="1" w:styleId="BesedilooblakaZnak">
    <w:name w:val="Besedilo oblačka Znak"/>
    <w:basedOn w:val="Privzetapisavaodstavka"/>
    <w:link w:val="Besedilooblaka"/>
    <w:uiPriority w:val="99"/>
    <w:semiHidden/>
    <w:rsid w:val="008B71D4"/>
    <w:rPr>
      <w:rFonts w:ascii="Tahoma" w:hAnsi="Tahoma" w:cs="Tahoma"/>
      <w:sz w:val="16"/>
      <w:szCs w:val="16"/>
    </w:rPr>
  </w:style>
  <w:style w:type="paragraph" w:styleId="Navadensplet">
    <w:name w:val="Normal (Web)"/>
    <w:basedOn w:val="Navaden"/>
    <w:uiPriority w:val="99"/>
    <w:semiHidden/>
    <w:unhideWhenUsed/>
    <w:rsid w:val="008B71D4"/>
    <w:pPr>
      <w:spacing w:after="210" w:line="210" w:lineRule="atLeast"/>
    </w:pPr>
    <w:rPr>
      <w:rFonts w:eastAsia="Times New Roman" w:cs="Times New Roman"/>
      <w:sz w:val="17"/>
      <w:szCs w:val="17"/>
      <w:lang w:eastAsia="sl-SI"/>
    </w:rPr>
  </w:style>
  <w:style w:type="paragraph" w:styleId="Brezrazmikov">
    <w:name w:val="No Spacing"/>
    <w:uiPriority w:val="1"/>
    <w:qFormat/>
    <w:rsid w:val="00641180"/>
    <w:pPr>
      <w:spacing w:line="240" w:lineRule="auto"/>
    </w:pPr>
    <w:rPr>
      <w:rFonts w:ascii="Calibri" w:hAnsi="Calibri"/>
    </w:rPr>
  </w:style>
  <w:style w:type="paragraph" w:styleId="Odstavekseznama">
    <w:name w:val="List Paragraph"/>
    <w:basedOn w:val="Navaden"/>
    <w:link w:val="OdstavekseznamaZnak"/>
    <w:uiPriority w:val="34"/>
    <w:qFormat/>
    <w:rsid w:val="00610F85"/>
    <w:pPr>
      <w:spacing w:before="0" w:after="160" w:line="259" w:lineRule="auto"/>
      <w:ind w:left="720"/>
      <w:contextualSpacing/>
      <w:jc w:val="left"/>
    </w:pPr>
    <w:rPr>
      <w:rFonts w:asciiTheme="minorHAnsi" w:hAnsiTheme="minorHAnsi"/>
    </w:rPr>
  </w:style>
  <w:style w:type="character" w:customStyle="1" w:styleId="OdstavekseznamaZnak">
    <w:name w:val="Odstavek seznama Znak"/>
    <w:basedOn w:val="Privzetapisavaodstavka"/>
    <w:link w:val="Odstavekseznama"/>
    <w:uiPriority w:val="34"/>
    <w:rsid w:val="002B189B"/>
    <w:rPr>
      <w:rFonts w:asciiTheme="minorHAnsi" w:hAnsiTheme="minorHAnsi"/>
    </w:rPr>
  </w:style>
  <w:style w:type="character" w:styleId="Hiperpovezava">
    <w:name w:val="Hyperlink"/>
    <w:basedOn w:val="Privzetapisavaodstavka"/>
    <w:uiPriority w:val="99"/>
    <w:unhideWhenUsed/>
    <w:rsid w:val="002B189B"/>
    <w:rPr>
      <w:color w:val="0000FF"/>
      <w:u w:val="single"/>
    </w:rPr>
  </w:style>
  <w:style w:type="character" w:styleId="Pripombasklic">
    <w:name w:val="annotation reference"/>
    <w:basedOn w:val="Privzetapisavaodstavka"/>
    <w:semiHidden/>
    <w:unhideWhenUsed/>
    <w:rsid w:val="00D14652"/>
    <w:rPr>
      <w:sz w:val="16"/>
      <w:szCs w:val="16"/>
    </w:rPr>
  </w:style>
  <w:style w:type="paragraph" w:styleId="Pripombabesedilo">
    <w:name w:val="annotation text"/>
    <w:basedOn w:val="Navaden"/>
    <w:link w:val="PripombabesediloZnak"/>
    <w:semiHidden/>
    <w:unhideWhenUsed/>
    <w:rsid w:val="00D14652"/>
    <w:pPr>
      <w:spacing w:before="0" w:after="0" w:line="240" w:lineRule="auto"/>
      <w:jc w:val="left"/>
    </w:pPr>
    <w:rPr>
      <w:rFonts w:ascii="Tahoma" w:eastAsia="Times New Roman" w:hAnsi="Tahoma" w:cs="Times New Roman"/>
      <w:sz w:val="20"/>
      <w:szCs w:val="20"/>
      <w:lang w:eastAsia="sl-SI"/>
    </w:rPr>
  </w:style>
  <w:style w:type="character" w:customStyle="1" w:styleId="PripombabesediloZnak">
    <w:name w:val="Pripomba – besedilo Znak"/>
    <w:basedOn w:val="Privzetapisavaodstavka"/>
    <w:link w:val="Pripombabesedilo"/>
    <w:semiHidden/>
    <w:rsid w:val="00D14652"/>
    <w:rPr>
      <w:rFonts w:eastAsia="Times New Roman" w:cs="Times New Roman"/>
      <w:sz w:val="20"/>
      <w:szCs w:val="20"/>
      <w:lang w:eastAsia="sl-SI"/>
    </w:rPr>
  </w:style>
  <w:style w:type="paragraph" w:customStyle="1" w:styleId="len">
    <w:name w:val="člen"/>
    <w:basedOn w:val="Naslov5"/>
    <w:rsid w:val="008574EC"/>
    <w:pPr>
      <w:keepLines w:val="0"/>
      <w:pBdr>
        <w:top w:val="single" w:sz="4" w:space="1" w:color="auto"/>
        <w:left w:val="single" w:sz="4" w:space="4" w:color="auto"/>
        <w:bottom w:val="single" w:sz="4" w:space="1" w:color="auto"/>
        <w:right w:val="single" w:sz="4" w:space="4" w:color="auto"/>
      </w:pBdr>
      <w:spacing w:before="0" w:line="240" w:lineRule="auto"/>
      <w:ind w:left="993" w:right="-57" w:hanging="993"/>
      <w:jc w:val="center"/>
    </w:pPr>
    <w:rPr>
      <w:rFonts w:ascii="Tahoma" w:eastAsia="Times New Roman" w:hAnsi="Tahoma" w:cs="Times New Roman"/>
      <w:b/>
      <w:color w:val="auto"/>
      <w:sz w:val="24"/>
      <w:szCs w:val="24"/>
    </w:rPr>
  </w:style>
  <w:style w:type="character" w:customStyle="1" w:styleId="Naslov5Znak">
    <w:name w:val="Naslov 5 Znak"/>
    <w:basedOn w:val="Privzetapisavaodstavka"/>
    <w:link w:val="Naslov5"/>
    <w:uiPriority w:val="9"/>
    <w:semiHidden/>
    <w:rsid w:val="008574EC"/>
    <w:rPr>
      <w:rFonts w:asciiTheme="majorHAnsi" w:eastAsiaTheme="majorEastAsia" w:hAnsiTheme="majorHAnsi" w:cstheme="majorBidi"/>
      <w:color w:val="365F91" w:themeColor="accent1" w:themeShade="BF"/>
    </w:rPr>
  </w:style>
  <w:style w:type="table" w:styleId="Tabelamrea">
    <w:name w:val="Table Grid"/>
    <w:basedOn w:val="Navadnatabela"/>
    <w:uiPriority w:val="59"/>
    <w:rsid w:val="00E958E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52544">
      <w:bodyDiv w:val="1"/>
      <w:marLeft w:val="0"/>
      <w:marRight w:val="0"/>
      <w:marTop w:val="0"/>
      <w:marBottom w:val="0"/>
      <w:divBdr>
        <w:top w:val="none" w:sz="0" w:space="0" w:color="auto"/>
        <w:left w:val="none" w:sz="0" w:space="0" w:color="auto"/>
        <w:bottom w:val="none" w:sz="0" w:space="0" w:color="auto"/>
        <w:right w:val="none" w:sz="0" w:space="0" w:color="auto"/>
      </w:divBdr>
      <w:divsChild>
        <w:div w:id="1486966866">
          <w:marLeft w:val="0"/>
          <w:marRight w:val="0"/>
          <w:marTop w:val="0"/>
          <w:marBottom w:val="0"/>
          <w:divBdr>
            <w:top w:val="none" w:sz="0" w:space="0" w:color="auto"/>
            <w:left w:val="none" w:sz="0" w:space="0" w:color="auto"/>
            <w:bottom w:val="none" w:sz="0" w:space="0" w:color="auto"/>
            <w:right w:val="none" w:sz="0" w:space="0" w:color="auto"/>
          </w:divBdr>
          <w:divsChild>
            <w:div w:id="175730328">
              <w:marLeft w:val="0"/>
              <w:marRight w:val="0"/>
              <w:marTop w:val="90"/>
              <w:marBottom w:val="0"/>
              <w:divBdr>
                <w:top w:val="single" w:sz="6" w:space="5" w:color="666666"/>
                <w:left w:val="none" w:sz="0" w:space="0" w:color="auto"/>
                <w:bottom w:val="none" w:sz="0" w:space="0" w:color="auto"/>
                <w:right w:val="none" w:sz="0" w:space="0" w:color="auto"/>
              </w:divBdr>
            </w:div>
          </w:divsChild>
        </w:div>
      </w:divsChild>
    </w:div>
    <w:div w:id="1858276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05-01-1688" TargetMode="External"/><Relationship Id="rId13" Type="http://schemas.openxmlformats.org/officeDocument/2006/relationships/hyperlink" Target="http://www.uradni-list.si/1/objava.jsp?sop=2011-01-2287"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uradni-list.si/1/objava.jsp?sop=2005-01-1688"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430" TargetMode="External"/><Relationship Id="rId5" Type="http://schemas.openxmlformats.org/officeDocument/2006/relationships/webSettings" Target="webSettings.xml"/><Relationship Id="rId15" Type="http://schemas.openxmlformats.org/officeDocument/2006/relationships/hyperlink" Target="http://www.uradni-list.si/1/objava.jsp?sop=2015-01-3430" TargetMode="External"/><Relationship Id="rId23" Type="http://schemas.openxmlformats.org/officeDocument/2006/relationships/theme" Target="theme/theme1.xml"/><Relationship Id="rId10" Type="http://schemas.openxmlformats.org/officeDocument/2006/relationships/hyperlink" Target="http://www.uradni-list.si/1/objava.jsp?sop=2014-01-260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uradni-list.si/1/objava.jsp?sop=2011-01-2287" TargetMode="External"/><Relationship Id="rId14" Type="http://schemas.openxmlformats.org/officeDocument/2006/relationships/hyperlink" Target="http://www.uradni-list.si/1/objava.jsp?sop=2014-01-2609" TargetMode="Externa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062D3DA-3D40-4AC8-BFBF-95A157C49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1354</Words>
  <Characters>7724</Characters>
  <Application>Microsoft Office Word</Application>
  <DocSecurity>0</DocSecurity>
  <Lines>64</Lines>
  <Paragraphs>18</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2019-06-06T10:31:00Z</dcterms:created>
  <dcterms:modified xsi:type="dcterms:W3CDTF">2019-06-06T10:31:00Z</dcterms:modified>
</cp:coreProperties>
</file>